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95701" w14:textId="77777777" w:rsidR="00543BBE" w:rsidRPr="0096671D" w:rsidRDefault="0096671D" w:rsidP="005E6D29">
      <w:pPr>
        <w:spacing w:before="5" w:after="120"/>
        <w:ind w:left="605" w:right="806"/>
        <w:contextualSpacing/>
        <w:textAlignment w:val="baseline"/>
        <w:rPr>
          <w:rFonts w:asciiTheme="minorHAnsi" w:hAnsiTheme="minorHAnsi" w:cs="Calibri"/>
        </w:rPr>
      </w:pPr>
      <w:r w:rsidRPr="0096671D">
        <w:rPr>
          <w:rFonts w:asciiTheme="minorHAnsi" w:hAnsiTheme="minorHAnsi" w:cs="Calibri"/>
          <w:noProof/>
        </w:rPr>
        <w:drawing>
          <wp:inline distT="0" distB="0" distL="0" distR="0" wp14:anchorId="0CBBBEC3" wp14:editId="1991E6DB">
            <wp:extent cx="5596255" cy="74041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ic:nvPicPr>
                  <pic:blipFill>
                    <a:blip r:embed="rId8"/>
                    <a:stretch>
                      <a:fillRect/>
                    </a:stretch>
                  </pic:blipFill>
                  <pic:spPr>
                    <a:xfrm>
                      <a:off x="0" y="0"/>
                      <a:ext cx="5596255" cy="740410"/>
                    </a:xfrm>
                    <a:prstGeom prst="rect">
                      <a:avLst/>
                    </a:prstGeom>
                  </pic:spPr>
                </pic:pic>
              </a:graphicData>
            </a:graphic>
          </wp:inline>
        </w:drawing>
      </w:r>
    </w:p>
    <w:p w14:paraId="7BB60CC4" w14:textId="77777777" w:rsidR="005E6D29" w:rsidRPr="0096671D" w:rsidRDefault="005E6D29" w:rsidP="005E6D29">
      <w:pPr>
        <w:spacing w:before="5" w:after="120"/>
        <w:ind w:left="605" w:right="806"/>
        <w:contextualSpacing/>
        <w:textAlignment w:val="baseline"/>
        <w:rPr>
          <w:rFonts w:asciiTheme="minorHAnsi" w:hAnsiTheme="minorHAnsi" w:cs="Calibri"/>
        </w:rPr>
      </w:pPr>
    </w:p>
    <w:p w14:paraId="4099A634" w14:textId="77777777" w:rsidR="0069408A" w:rsidRDefault="0096671D" w:rsidP="006F0E56">
      <w:pPr>
        <w:shd w:val="solid" w:color="1F3D7A" w:fill="1F3D7A"/>
        <w:spacing w:after="120"/>
        <w:contextualSpacing/>
        <w:jc w:val="center"/>
        <w:textAlignment w:val="baseline"/>
        <w:rPr>
          <w:rFonts w:asciiTheme="minorHAnsi" w:eastAsia="Constantia" w:hAnsiTheme="minorHAnsi" w:cs="Calibri"/>
          <w:b/>
          <w:color w:val="FFFFFF"/>
          <w:sz w:val="33"/>
        </w:rPr>
      </w:pPr>
      <w:r w:rsidRPr="0096671D">
        <w:rPr>
          <w:rFonts w:asciiTheme="minorHAnsi" w:eastAsia="Constantia" w:hAnsiTheme="minorHAnsi" w:cs="Calibri"/>
          <w:b/>
          <w:color w:val="FFFFFF"/>
          <w:sz w:val="33"/>
        </w:rPr>
        <w:t>National Oilheat Research Alliance (NORA)</w:t>
      </w:r>
      <w:r w:rsidR="0069408A">
        <w:rPr>
          <w:rFonts w:asciiTheme="minorHAnsi" w:eastAsia="Constantia" w:hAnsiTheme="minorHAnsi" w:cs="Calibri"/>
          <w:b/>
          <w:color w:val="FFFFFF"/>
          <w:sz w:val="33"/>
        </w:rPr>
        <w:t xml:space="preserve"> </w:t>
      </w:r>
    </w:p>
    <w:p w14:paraId="552B8D44" w14:textId="4760E64C" w:rsidR="00543BBE" w:rsidRPr="0096671D" w:rsidRDefault="0069408A" w:rsidP="006F0E56">
      <w:pPr>
        <w:shd w:val="solid" w:color="1F3D7A" w:fill="1F3D7A"/>
        <w:spacing w:after="120"/>
        <w:contextualSpacing/>
        <w:jc w:val="center"/>
        <w:textAlignment w:val="baseline"/>
        <w:rPr>
          <w:rFonts w:asciiTheme="minorHAnsi" w:eastAsia="Constantia" w:hAnsiTheme="minorHAnsi" w:cs="Calibri"/>
          <w:b/>
          <w:color w:val="FFFFFF"/>
          <w:sz w:val="33"/>
        </w:rPr>
      </w:pPr>
      <w:r>
        <w:rPr>
          <w:rFonts w:asciiTheme="minorHAnsi" w:eastAsia="Constantia" w:hAnsiTheme="minorHAnsi" w:cs="Calibri"/>
          <w:b/>
          <w:color w:val="FFFFFF"/>
          <w:sz w:val="33"/>
        </w:rPr>
        <w:t>And Additional Heating Fuel Issues</w:t>
      </w:r>
    </w:p>
    <w:p w14:paraId="02D7439F" w14:textId="77777777" w:rsidR="00543BBE" w:rsidRPr="0096671D" w:rsidRDefault="0096671D" w:rsidP="005E6D29">
      <w:pPr>
        <w:pStyle w:val="Heading1"/>
        <w:spacing w:line="240" w:lineRule="auto"/>
        <w:ind w:left="-5" w:firstLine="0"/>
        <w:contextualSpacing/>
        <w:rPr>
          <w:rFonts w:asciiTheme="minorHAnsi" w:hAnsiTheme="minorHAnsi" w:cs="Calibri"/>
          <w:b w:val="0"/>
          <w:color w:val="006FC0"/>
        </w:rPr>
      </w:pPr>
      <w:r w:rsidRPr="0096671D">
        <w:rPr>
          <w:rFonts w:asciiTheme="minorHAnsi" w:eastAsia="Aptos" w:hAnsiTheme="minorHAnsi" w:cs="Calibri"/>
          <w:sz w:val="24"/>
          <w:szCs w:val="24"/>
        </w:rPr>
        <w:t>Background</w:t>
      </w:r>
    </w:p>
    <w:p w14:paraId="1749DD0B" w14:textId="77777777" w:rsidR="00543BBE" w:rsidRPr="0096671D" w:rsidRDefault="0096671D" w:rsidP="005E6D29">
      <w:pPr>
        <w:contextualSpacing/>
        <w:textAlignment w:val="baseline"/>
        <w:rPr>
          <w:rFonts w:asciiTheme="minorHAnsi" w:eastAsia="Constantia" w:hAnsiTheme="minorHAnsi" w:cs="Calibri"/>
          <w:color w:val="000000"/>
        </w:rPr>
      </w:pPr>
      <w:r w:rsidRPr="0096671D">
        <w:rPr>
          <w:rFonts w:asciiTheme="minorHAnsi" w:eastAsia="Constantia" w:hAnsiTheme="minorHAnsi" w:cs="Calibri"/>
          <w:color w:val="000000"/>
        </w:rPr>
        <w:t xml:space="preserve">Congress authorized NORA in 2000 to facilitate the liquid heating industry’s efforts to </w:t>
      </w:r>
      <w:r w:rsidR="00B66738" w:rsidRPr="0096671D">
        <w:rPr>
          <w:rFonts w:asciiTheme="minorHAnsi" w:eastAsia="Constantia" w:hAnsiTheme="minorHAnsi" w:cs="Calibri"/>
          <w:color w:val="000000"/>
        </w:rPr>
        <w:t xml:space="preserve">lower emissions and </w:t>
      </w:r>
      <w:r w:rsidRPr="0096671D">
        <w:rPr>
          <w:rFonts w:asciiTheme="minorHAnsi" w:eastAsia="Constantia" w:hAnsiTheme="minorHAnsi" w:cs="Calibri"/>
          <w:color w:val="000000"/>
        </w:rPr>
        <w:t>provide more reliable</w:t>
      </w:r>
      <w:r w:rsidR="00B66738" w:rsidRPr="0096671D">
        <w:rPr>
          <w:rFonts w:asciiTheme="minorHAnsi" w:eastAsia="Constantia" w:hAnsiTheme="minorHAnsi" w:cs="Calibri"/>
          <w:color w:val="000000"/>
        </w:rPr>
        <w:t xml:space="preserve"> </w:t>
      </w:r>
      <w:r w:rsidRPr="0096671D">
        <w:rPr>
          <w:rFonts w:asciiTheme="minorHAnsi" w:eastAsia="Constantia" w:hAnsiTheme="minorHAnsi" w:cs="Calibri"/>
          <w:color w:val="000000"/>
        </w:rPr>
        <w:t>home heating and hot water to six million homes. NORA receives $0.002 at the wholesale level on every gallon of liquid heating fuel sold</w:t>
      </w:r>
      <w:r w:rsidR="00B66738" w:rsidRPr="0096671D">
        <w:rPr>
          <w:rFonts w:asciiTheme="minorHAnsi" w:eastAsia="Constantia" w:hAnsiTheme="minorHAnsi" w:cs="Calibri"/>
          <w:color w:val="000000"/>
        </w:rPr>
        <w:t xml:space="preserve"> in the 21 states who voluntarily participate in the NORA program</w:t>
      </w:r>
      <w:r w:rsidRPr="0096671D">
        <w:rPr>
          <w:rFonts w:asciiTheme="minorHAnsi" w:eastAsia="Constantia" w:hAnsiTheme="minorHAnsi" w:cs="Calibri"/>
          <w:color w:val="000000"/>
        </w:rPr>
        <w:t xml:space="preserve">. NORA receives no federal </w:t>
      </w:r>
      <w:r w:rsidR="00B66738" w:rsidRPr="0096671D">
        <w:rPr>
          <w:rFonts w:asciiTheme="minorHAnsi" w:eastAsia="Constantia" w:hAnsiTheme="minorHAnsi" w:cs="Calibri"/>
          <w:color w:val="000000"/>
        </w:rPr>
        <w:t xml:space="preserve">or state appropriations and is </w:t>
      </w:r>
      <w:r w:rsidRPr="0096671D">
        <w:rPr>
          <w:rFonts w:asciiTheme="minorHAnsi" w:eastAsia="Constantia" w:hAnsiTheme="minorHAnsi" w:cs="Calibri"/>
          <w:color w:val="000000"/>
        </w:rPr>
        <w:t>100% industry funded. As mandated by Congress, NORA directs annual fee receipts to support (1) Consumer Education, Safety &amp; Training; (2) Research, Development &amp; Demonstration; and (3) Heating Oil Efficiency &amp;</w:t>
      </w:r>
      <w:r w:rsidR="00B66738" w:rsidRPr="0096671D">
        <w:rPr>
          <w:rFonts w:asciiTheme="minorHAnsi" w:eastAsia="Constantia" w:hAnsiTheme="minorHAnsi" w:cs="Calibri"/>
          <w:color w:val="000000"/>
        </w:rPr>
        <w:t xml:space="preserve"> </w:t>
      </w:r>
      <w:r w:rsidRPr="0096671D">
        <w:rPr>
          <w:rFonts w:asciiTheme="minorHAnsi" w:eastAsia="Constantia" w:hAnsiTheme="minorHAnsi" w:cs="Calibri"/>
          <w:color w:val="000000"/>
        </w:rPr>
        <w:t>Upgrade Program.</w:t>
      </w:r>
    </w:p>
    <w:p w14:paraId="07B19DE8" w14:textId="77777777" w:rsidR="00A47980" w:rsidRPr="0096671D" w:rsidRDefault="00A47980" w:rsidP="005E6D29">
      <w:pPr>
        <w:contextualSpacing/>
        <w:textAlignment w:val="baseline"/>
        <w:rPr>
          <w:rFonts w:asciiTheme="minorHAnsi" w:eastAsia="Constantia" w:hAnsiTheme="minorHAnsi" w:cs="Calibri"/>
          <w:color w:val="000000"/>
        </w:rPr>
      </w:pPr>
    </w:p>
    <w:p w14:paraId="44038C85" w14:textId="77777777" w:rsidR="00543BBE" w:rsidRPr="0096671D" w:rsidRDefault="0096671D" w:rsidP="005E6D29">
      <w:pPr>
        <w:pStyle w:val="Heading1"/>
        <w:spacing w:line="240" w:lineRule="auto"/>
        <w:ind w:left="-5" w:firstLine="0"/>
        <w:contextualSpacing/>
        <w:rPr>
          <w:rFonts w:asciiTheme="minorHAnsi" w:hAnsiTheme="minorHAnsi" w:cs="Calibri"/>
          <w:b w:val="0"/>
          <w:color w:val="215E99" w:themeColor="text2" w:themeTint="BF"/>
        </w:rPr>
      </w:pPr>
      <w:r w:rsidRPr="0096671D">
        <w:rPr>
          <w:rFonts w:asciiTheme="minorHAnsi" w:eastAsia="Aptos" w:hAnsiTheme="minorHAnsi" w:cs="Calibri"/>
          <w:sz w:val="24"/>
          <w:szCs w:val="24"/>
        </w:rPr>
        <w:t>NORA</w:t>
      </w:r>
      <w:r w:rsidRPr="0096671D">
        <w:rPr>
          <w:rFonts w:asciiTheme="minorHAnsi" w:hAnsiTheme="minorHAnsi" w:cs="Calibri"/>
          <w:color w:val="215E99" w:themeColor="text2" w:themeTint="BF"/>
        </w:rPr>
        <w:t xml:space="preserve"> </w:t>
      </w:r>
      <w:r w:rsidRPr="0096671D">
        <w:rPr>
          <w:rFonts w:asciiTheme="minorHAnsi" w:eastAsia="Aptos" w:hAnsiTheme="minorHAnsi" w:cs="Calibri"/>
          <w:sz w:val="24"/>
          <w:szCs w:val="24"/>
        </w:rPr>
        <w:t>Initiatives</w:t>
      </w:r>
    </w:p>
    <w:p w14:paraId="5732AFD8" w14:textId="77777777" w:rsidR="00B66738" w:rsidRPr="0096671D" w:rsidRDefault="00B66738" w:rsidP="005E6D29">
      <w:pPr>
        <w:ind w:right="288"/>
        <w:contextualSpacing/>
        <w:textAlignment w:val="baseline"/>
        <w:rPr>
          <w:rFonts w:asciiTheme="minorHAnsi" w:eastAsia="Constantia" w:hAnsiTheme="minorHAnsi" w:cs="Calibri"/>
          <w:color w:val="000000"/>
          <w:sz w:val="4"/>
          <w:szCs w:val="4"/>
        </w:rPr>
      </w:pPr>
    </w:p>
    <w:p w14:paraId="4E90D007" w14:textId="77777777" w:rsidR="00B66738" w:rsidRPr="0096671D" w:rsidRDefault="0096671D" w:rsidP="005E6D29">
      <w:pPr>
        <w:pStyle w:val="Heading1"/>
        <w:spacing w:line="240" w:lineRule="auto"/>
        <w:ind w:left="720" w:hanging="360"/>
        <w:contextualSpacing/>
        <w:rPr>
          <w:rFonts w:asciiTheme="minorHAnsi" w:hAnsiTheme="minorHAnsi" w:cs="Calibri"/>
          <w:b w:val="0"/>
          <w:bCs/>
          <w:smallCaps/>
          <w:color w:val="215E99" w:themeColor="text2" w:themeTint="BF"/>
        </w:rPr>
      </w:pPr>
      <w:r w:rsidRPr="0096671D">
        <w:rPr>
          <w:rFonts w:asciiTheme="minorHAnsi" w:eastAsia="Aptos" w:hAnsiTheme="minorHAnsi" w:cs="Calibri"/>
          <w:sz w:val="24"/>
          <w:szCs w:val="24"/>
        </w:rPr>
        <w:t>Consumer</w:t>
      </w:r>
      <w:r w:rsidRPr="0096671D">
        <w:rPr>
          <w:rFonts w:asciiTheme="minorHAnsi" w:hAnsiTheme="minorHAnsi" w:cs="Calibri"/>
          <w:bCs/>
          <w:smallCaps/>
          <w:color w:val="215E99" w:themeColor="text2" w:themeTint="BF"/>
        </w:rPr>
        <w:t xml:space="preserve"> </w:t>
      </w:r>
      <w:r w:rsidRPr="0096671D">
        <w:rPr>
          <w:rFonts w:asciiTheme="minorHAnsi" w:eastAsia="Aptos" w:hAnsiTheme="minorHAnsi" w:cs="Calibri"/>
          <w:sz w:val="24"/>
          <w:szCs w:val="24"/>
        </w:rPr>
        <w:t>Education, Safety &amp; Training</w:t>
      </w:r>
      <w:r w:rsidRPr="0096671D">
        <w:rPr>
          <w:rFonts w:asciiTheme="minorHAnsi" w:hAnsiTheme="minorHAnsi" w:cs="Calibri"/>
          <w:bCs/>
          <w:smallCaps/>
          <w:color w:val="215E99" w:themeColor="text2" w:themeTint="BF"/>
        </w:rPr>
        <w:t xml:space="preserve"> </w:t>
      </w:r>
    </w:p>
    <w:p w14:paraId="24897F3A" w14:textId="77777777" w:rsidR="00B66738" w:rsidRPr="0096671D" w:rsidRDefault="00B66738" w:rsidP="005E6D29">
      <w:pPr>
        <w:ind w:right="288"/>
        <w:contextualSpacing/>
        <w:textAlignment w:val="baseline"/>
        <w:rPr>
          <w:rFonts w:asciiTheme="minorHAnsi" w:eastAsia="Constantia" w:hAnsiTheme="minorHAnsi" w:cs="Calibri"/>
          <w:color w:val="000000"/>
        </w:rPr>
      </w:pPr>
    </w:p>
    <w:p w14:paraId="49E29003" w14:textId="77777777" w:rsidR="00B66738" w:rsidRPr="0096671D" w:rsidRDefault="0096671D" w:rsidP="005E6D29">
      <w:pPr>
        <w:ind w:right="2250"/>
        <w:contextualSpacing/>
        <w:textAlignment w:val="baseline"/>
        <w:rPr>
          <w:rFonts w:asciiTheme="minorHAnsi" w:eastAsia="Constantia" w:hAnsiTheme="minorHAnsi" w:cs="Calibri"/>
          <w:b/>
          <w:color w:val="000000"/>
          <w:lang w:val="x-none"/>
        </w:rPr>
      </w:pPr>
      <w:r w:rsidRPr="0096671D">
        <w:rPr>
          <w:rFonts w:asciiTheme="minorHAnsi" w:eastAsia="Constantia" w:hAnsiTheme="minorHAnsi" w:cs="Calibri"/>
          <w:b/>
          <w:noProof/>
          <w:color w:val="000000"/>
          <w:lang w:val="x-none"/>
        </w:rPr>
        <w:drawing>
          <wp:anchor distT="0" distB="0" distL="114300" distR="114300" simplePos="0" relativeHeight="251658240" behindDoc="1" locked="0" layoutInCell="1" allowOverlap="1" wp14:anchorId="0D5212E3" wp14:editId="20AB5234">
            <wp:simplePos x="0" y="0"/>
            <wp:positionH relativeFrom="margin">
              <wp:posOffset>5527040</wp:posOffset>
            </wp:positionH>
            <wp:positionV relativeFrom="paragraph">
              <wp:posOffset>50165</wp:posOffset>
            </wp:positionV>
            <wp:extent cx="1370330" cy="819150"/>
            <wp:effectExtent l="0" t="0" r="1270" b="0"/>
            <wp:wrapSquare wrapText="bothSides"/>
            <wp:docPr id="288178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78607" name="Picture 288178607"/>
                    <pic:cNvPicPr/>
                  </pic:nvPicPr>
                  <pic:blipFill>
                    <a:blip r:embed="rId9">
                      <a:extLst>
                        <a:ext uri="{28A0092B-C50C-407E-A947-70E740481C1C}">
                          <a14:useLocalDpi xmlns:a14="http://schemas.microsoft.com/office/drawing/2010/main" val="0"/>
                        </a:ext>
                      </a:extLst>
                    </a:blip>
                    <a:stretch>
                      <a:fillRect/>
                    </a:stretch>
                  </pic:blipFill>
                  <pic:spPr>
                    <a:xfrm>
                      <a:off x="0" y="0"/>
                      <a:ext cx="1370330" cy="819150"/>
                    </a:xfrm>
                    <a:prstGeom prst="rect">
                      <a:avLst/>
                    </a:prstGeom>
                  </pic:spPr>
                </pic:pic>
              </a:graphicData>
            </a:graphic>
            <wp14:sizeRelH relativeFrom="page">
              <wp14:pctWidth>0</wp14:pctWidth>
            </wp14:sizeRelH>
            <wp14:sizeRelV relativeFrom="page">
              <wp14:pctHeight>0</wp14:pctHeight>
            </wp14:sizeRelV>
          </wp:anchor>
        </w:drawing>
      </w:r>
      <w:r w:rsidRPr="0096671D">
        <w:rPr>
          <w:rFonts w:asciiTheme="minorHAnsi" w:eastAsia="Constantia" w:hAnsiTheme="minorHAnsi" w:cs="Calibri"/>
          <w:b/>
          <w:color w:val="000000"/>
          <w:lang w:val="x-none"/>
        </w:rPr>
        <w:t>Technician Certification Program—certifications, continuing education &amp; workforce training for entry-level &amp; experienced liquid fuel service technicians</w:t>
      </w:r>
    </w:p>
    <w:p w14:paraId="13BBA8EC" w14:textId="77777777" w:rsidR="00B66738" w:rsidRPr="0096671D" w:rsidRDefault="0096671D" w:rsidP="005E6D29">
      <w:pPr>
        <w:pStyle w:val="ListParagraph"/>
        <w:numPr>
          <w:ilvl w:val="0"/>
          <w:numId w:val="2"/>
        </w:numPr>
        <w:ind w:right="2250"/>
        <w:textAlignment w:val="baseline"/>
        <w:rPr>
          <w:rFonts w:asciiTheme="minorHAnsi" w:eastAsia="Constantia" w:hAnsiTheme="minorHAnsi" w:cs="Calibri"/>
          <w:color w:val="000000"/>
          <w:lang w:val="x-none"/>
        </w:rPr>
      </w:pPr>
      <w:r w:rsidRPr="0096671D">
        <w:rPr>
          <w:rFonts w:asciiTheme="minorHAnsi" w:eastAsia="Constantia" w:hAnsiTheme="minorHAnsi" w:cs="Calibri"/>
          <w:color w:val="000000"/>
          <w:lang w:val="x-none"/>
        </w:rPr>
        <w:t>Recognized Technician Certification for the liquid heating fuels industry</w:t>
      </w:r>
    </w:p>
    <w:p w14:paraId="214C1371" w14:textId="77777777" w:rsidR="00B66738" w:rsidRPr="0096671D" w:rsidRDefault="0096671D" w:rsidP="005E6D29">
      <w:pPr>
        <w:pStyle w:val="ListParagraph"/>
        <w:numPr>
          <w:ilvl w:val="0"/>
          <w:numId w:val="2"/>
        </w:numPr>
        <w:ind w:right="2250"/>
        <w:textAlignment w:val="baseline"/>
        <w:rPr>
          <w:rFonts w:asciiTheme="minorHAnsi" w:eastAsia="Constantia" w:hAnsiTheme="minorHAnsi" w:cs="Calibri"/>
          <w:color w:val="000000"/>
          <w:lang w:val="x-none"/>
        </w:rPr>
      </w:pPr>
      <w:r w:rsidRPr="0096671D">
        <w:rPr>
          <w:rFonts w:asciiTheme="minorHAnsi" w:eastAsia="Constantia" w:hAnsiTheme="minorHAnsi" w:cs="Calibri"/>
          <w:color w:val="000000"/>
          <w:lang w:val="x-none"/>
        </w:rPr>
        <w:t>NORA Silver Certification is required to practice in New Hampshire, Vermont and Putnam County, NY</w:t>
      </w:r>
    </w:p>
    <w:p w14:paraId="7E92A83E" w14:textId="77777777" w:rsidR="00B66738" w:rsidRPr="0096671D" w:rsidRDefault="0096671D" w:rsidP="005E6D29">
      <w:pPr>
        <w:pStyle w:val="ListParagraph"/>
        <w:numPr>
          <w:ilvl w:val="0"/>
          <w:numId w:val="2"/>
        </w:numPr>
        <w:ind w:right="2250"/>
        <w:textAlignment w:val="baseline"/>
        <w:rPr>
          <w:rFonts w:asciiTheme="minorHAnsi" w:eastAsia="Constantia" w:hAnsiTheme="minorHAnsi" w:cs="Calibri"/>
          <w:color w:val="000000"/>
          <w:lang w:val="x-none"/>
        </w:rPr>
      </w:pPr>
      <w:r w:rsidRPr="0096671D">
        <w:rPr>
          <w:rFonts w:asciiTheme="minorHAnsi" w:eastAsia="Constantia" w:hAnsiTheme="minorHAnsi" w:cs="Calibri"/>
          <w:color w:val="000000"/>
          <w:lang w:val="x-none"/>
        </w:rPr>
        <w:t>Online &amp; in-person training at State association training centers, technical high schools &amp; community colleges</w:t>
      </w:r>
    </w:p>
    <w:p w14:paraId="5B4D5CB1" w14:textId="77777777" w:rsidR="00B66738" w:rsidRPr="0096671D" w:rsidRDefault="0096671D" w:rsidP="005E6D29">
      <w:pPr>
        <w:pStyle w:val="ListParagraph"/>
        <w:numPr>
          <w:ilvl w:val="0"/>
          <w:numId w:val="2"/>
        </w:numPr>
        <w:ind w:right="2250"/>
        <w:textAlignment w:val="baseline"/>
        <w:rPr>
          <w:rFonts w:asciiTheme="minorHAnsi" w:eastAsia="Constantia" w:hAnsiTheme="minorHAnsi" w:cs="Calibri"/>
          <w:color w:val="000000"/>
          <w:lang w:val="x-none"/>
        </w:rPr>
      </w:pPr>
      <w:r w:rsidRPr="0096671D">
        <w:rPr>
          <w:rFonts w:asciiTheme="minorHAnsi" w:eastAsia="Constantia" w:hAnsiTheme="minorHAnsi" w:cs="Calibri"/>
          <w:color w:val="000000"/>
          <w:lang w:val="x-none"/>
        </w:rPr>
        <w:t>NORA Bronze apprenticeship program offers a professional pathway for student and entry-level technicians</w:t>
      </w:r>
    </w:p>
    <w:p w14:paraId="41E9CA0B" w14:textId="77777777" w:rsidR="00B66738" w:rsidRPr="0096671D" w:rsidRDefault="00B66738" w:rsidP="005E6D29">
      <w:pPr>
        <w:ind w:right="288"/>
        <w:contextualSpacing/>
        <w:textAlignment w:val="baseline"/>
        <w:rPr>
          <w:rFonts w:asciiTheme="minorHAnsi" w:eastAsia="Constantia" w:hAnsiTheme="minorHAnsi" w:cs="Calibri"/>
          <w:color w:val="000000"/>
        </w:rPr>
      </w:pPr>
    </w:p>
    <w:p w14:paraId="40F8D65F" w14:textId="77777777" w:rsidR="00B66738" w:rsidRPr="0096671D" w:rsidRDefault="0096671D" w:rsidP="005E6D29">
      <w:pPr>
        <w:pStyle w:val="Heading1"/>
        <w:spacing w:line="240" w:lineRule="auto"/>
        <w:ind w:left="720" w:hanging="360"/>
        <w:contextualSpacing/>
        <w:rPr>
          <w:rFonts w:asciiTheme="minorHAnsi" w:eastAsia="Aptos" w:hAnsiTheme="minorHAnsi" w:cs="Calibri"/>
          <w:sz w:val="24"/>
          <w:szCs w:val="24"/>
        </w:rPr>
      </w:pPr>
      <w:r w:rsidRPr="0096671D">
        <w:rPr>
          <w:rFonts w:asciiTheme="minorHAnsi" w:eastAsia="Aptos" w:hAnsiTheme="minorHAnsi" w:cs="Calibri"/>
          <w:sz w:val="24"/>
          <w:szCs w:val="24"/>
        </w:rPr>
        <w:t>Research, Development &amp; Demonstration (RD&amp;D)</w:t>
      </w:r>
    </w:p>
    <w:p w14:paraId="2544D434" w14:textId="77777777" w:rsidR="00A47980" w:rsidRPr="0096671D" w:rsidRDefault="00A47980" w:rsidP="005E6D29">
      <w:pPr>
        <w:contextualSpacing/>
        <w:rPr>
          <w:rFonts w:asciiTheme="minorHAnsi" w:hAnsiTheme="minorHAnsi" w:cs="Calibri"/>
        </w:rPr>
      </w:pPr>
    </w:p>
    <w:p w14:paraId="5C8D92A0" w14:textId="77777777" w:rsidR="00B66738" w:rsidRPr="0096671D" w:rsidRDefault="0096671D" w:rsidP="005E6D29">
      <w:pPr>
        <w:autoSpaceDE w:val="0"/>
        <w:autoSpaceDN w:val="0"/>
        <w:adjustRightInd w:val="0"/>
        <w:snapToGrid w:val="0"/>
        <w:ind w:right="2430"/>
        <w:contextualSpacing/>
        <w:rPr>
          <w:rFonts w:asciiTheme="minorHAnsi" w:eastAsia="Times New Roman" w:hAnsiTheme="minorHAnsi" w:cs="Calibri"/>
          <w:b/>
          <w:color w:val="000000"/>
          <w:lang w:val="x-none"/>
        </w:rPr>
      </w:pPr>
      <w:r w:rsidRPr="0096671D">
        <w:rPr>
          <w:rFonts w:asciiTheme="minorHAnsi" w:eastAsia="Aptos" w:hAnsiTheme="minorHAnsi" w:cs="Calibri"/>
          <w:noProof/>
          <w:color w:val="0070C0"/>
          <w:sz w:val="24"/>
          <w:szCs w:val="24"/>
        </w:rPr>
        <w:drawing>
          <wp:anchor distT="0" distB="0" distL="114300" distR="114300" simplePos="0" relativeHeight="251659264" behindDoc="1" locked="0" layoutInCell="1" allowOverlap="1" wp14:anchorId="677D5028" wp14:editId="4D79025F">
            <wp:simplePos x="0" y="0"/>
            <wp:positionH relativeFrom="margin">
              <wp:posOffset>5534273</wp:posOffset>
            </wp:positionH>
            <wp:positionV relativeFrom="paragraph">
              <wp:posOffset>90584</wp:posOffset>
            </wp:positionV>
            <wp:extent cx="1371600" cy="753548"/>
            <wp:effectExtent l="0" t="0" r="0" b="8890"/>
            <wp:wrapSquare wrapText="bothSides"/>
            <wp:docPr id="2610818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081890" name="Picture 261081890"/>
                    <pic:cNvPicPr/>
                  </pic:nvPicPr>
                  <pic:blipFill>
                    <a:blip r:embed="rId10">
                      <a:extLst>
                        <a:ext uri="{28A0092B-C50C-407E-A947-70E740481C1C}">
                          <a14:useLocalDpi xmlns:a14="http://schemas.microsoft.com/office/drawing/2010/main" val="0"/>
                        </a:ext>
                      </a:extLst>
                    </a:blip>
                    <a:stretch>
                      <a:fillRect/>
                    </a:stretch>
                  </pic:blipFill>
                  <pic:spPr>
                    <a:xfrm>
                      <a:off x="0" y="0"/>
                      <a:ext cx="1371600" cy="753548"/>
                    </a:xfrm>
                    <a:prstGeom prst="rect">
                      <a:avLst/>
                    </a:prstGeom>
                  </pic:spPr>
                </pic:pic>
              </a:graphicData>
            </a:graphic>
            <wp14:sizeRelH relativeFrom="page">
              <wp14:pctWidth>0</wp14:pctWidth>
            </wp14:sizeRelH>
            <wp14:sizeRelV relativeFrom="page">
              <wp14:pctHeight>0</wp14:pctHeight>
            </wp14:sizeRelV>
          </wp:anchor>
        </w:drawing>
      </w:r>
      <w:r w:rsidRPr="0096671D">
        <w:rPr>
          <w:rFonts w:asciiTheme="minorHAnsi" w:eastAsia="Times New Roman" w:hAnsiTheme="minorHAnsi" w:cs="Calibri"/>
          <w:b/>
          <w:color w:val="000000"/>
          <w:lang w:val="x-none"/>
        </w:rPr>
        <w:t>NORA’s RD&amp;D results deliver consumer products that reduce emissions &amp; lower energy costs for hardworking Americans.</w:t>
      </w:r>
    </w:p>
    <w:p w14:paraId="3E3EE5C2" w14:textId="77777777" w:rsidR="00B66738" w:rsidRPr="0096671D" w:rsidRDefault="0096671D" w:rsidP="005E6D29">
      <w:pPr>
        <w:pStyle w:val="ListParagraph"/>
        <w:numPr>
          <w:ilvl w:val="0"/>
          <w:numId w:val="3"/>
        </w:numPr>
        <w:autoSpaceDE w:val="0"/>
        <w:autoSpaceDN w:val="0"/>
        <w:adjustRightInd w:val="0"/>
        <w:snapToGrid w:val="0"/>
        <w:ind w:right="2430"/>
        <w:rPr>
          <w:rFonts w:asciiTheme="minorHAnsi" w:eastAsia="Times New Roman" w:hAnsiTheme="minorHAnsi" w:cs="Calibri"/>
          <w:color w:val="000000"/>
          <w:lang w:val="x-none"/>
        </w:rPr>
      </w:pPr>
      <w:r w:rsidRPr="0096671D">
        <w:rPr>
          <w:rFonts w:asciiTheme="minorHAnsi" w:eastAsia="Times New Roman" w:hAnsiTheme="minorHAnsi" w:cs="Calibri"/>
          <w:color w:val="000000"/>
          <w:lang w:val="x-none"/>
        </w:rPr>
        <w:t>Bioheat® fuel, an efficient and direct path to lowering emissions from homes</w:t>
      </w:r>
    </w:p>
    <w:p w14:paraId="0E0110F5" w14:textId="77777777" w:rsidR="00B66738" w:rsidRPr="0096671D" w:rsidRDefault="0096671D" w:rsidP="005E6D29">
      <w:pPr>
        <w:pStyle w:val="ListParagraph"/>
        <w:numPr>
          <w:ilvl w:val="0"/>
          <w:numId w:val="3"/>
        </w:numPr>
        <w:autoSpaceDE w:val="0"/>
        <w:autoSpaceDN w:val="0"/>
        <w:adjustRightInd w:val="0"/>
        <w:snapToGrid w:val="0"/>
        <w:ind w:right="2430"/>
        <w:rPr>
          <w:rFonts w:asciiTheme="minorHAnsi" w:eastAsia="Times New Roman" w:hAnsiTheme="minorHAnsi" w:cs="Calibri"/>
          <w:color w:val="000000"/>
          <w:lang w:val="x-none"/>
        </w:rPr>
      </w:pPr>
      <w:r w:rsidRPr="0096671D">
        <w:rPr>
          <w:rFonts w:asciiTheme="minorHAnsi" w:eastAsia="Times New Roman" w:hAnsiTheme="minorHAnsi" w:cs="Calibri"/>
          <w:color w:val="000000"/>
          <w:lang w:val="x-none"/>
        </w:rPr>
        <w:t>Advanced heating systems that can operate with renewable biofuels</w:t>
      </w:r>
    </w:p>
    <w:p w14:paraId="59F4336F" w14:textId="77777777" w:rsidR="00B66738" w:rsidRPr="0096671D" w:rsidRDefault="0096671D" w:rsidP="005E6D29">
      <w:pPr>
        <w:pStyle w:val="ListParagraph"/>
        <w:numPr>
          <w:ilvl w:val="0"/>
          <w:numId w:val="3"/>
        </w:numPr>
        <w:autoSpaceDE w:val="0"/>
        <w:autoSpaceDN w:val="0"/>
        <w:adjustRightInd w:val="0"/>
        <w:snapToGrid w:val="0"/>
        <w:ind w:right="2430"/>
        <w:rPr>
          <w:rFonts w:asciiTheme="minorHAnsi" w:eastAsia="Times New Roman" w:hAnsiTheme="minorHAnsi" w:cs="Calibri"/>
          <w:color w:val="000000"/>
          <w:lang w:val="x-none"/>
        </w:rPr>
      </w:pPr>
      <w:r w:rsidRPr="0096671D">
        <w:rPr>
          <w:rFonts w:asciiTheme="minorHAnsi" w:eastAsia="Times New Roman" w:hAnsiTheme="minorHAnsi" w:cs="Calibri"/>
          <w:color w:val="000000"/>
          <w:lang w:val="x-none"/>
        </w:rPr>
        <w:t>Advanced research for storing, handling and utilizing alternative fuels</w:t>
      </w:r>
    </w:p>
    <w:p w14:paraId="08661E84" w14:textId="77777777" w:rsidR="00B66738" w:rsidRPr="0096671D" w:rsidRDefault="0096671D" w:rsidP="005E6D29">
      <w:pPr>
        <w:pStyle w:val="ListParagraph"/>
        <w:numPr>
          <w:ilvl w:val="0"/>
          <w:numId w:val="3"/>
        </w:numPr>
        <w:autoSpaceDE w:val="0"/>
        <w:autoSpaceDN w:val="0"/>
        <w:adjustRightInd w:val="0"/>
        <w:snapToGrid w:val="0"/>
        <w:ind w:right="2430"/>
        <w:rPr>
          <w:rFonts w:asciiTheme="minorHAnsi" w:eastAsia="Times New Roman" w:hAnsiTheme="minorHAnsi" w:cs="Calibri"/>
          <w:color w:val="000000"/>
          <w:lang w:val="x-none"/>
        </w:rPr>
      </w:pPr>
      <w:r w:rsidRPr="0096671D">
        <w:rPr>
          <w:rFonts w:asciiTheme="minorHAnsi" w:eastAsia="Times New Roman" w:hAnsiTheme="minorHAnsi" w:cs="Calibri"/>
          <w:color w:val="000000"/>
          <w:lang w:val="x-none"/>
        </w:rPr>
        <w:t>Partnering with appliance manufacturers to advance efficiency, operability, &amp; safety of home heating systems</w:t>
      </w:r>
    </w:p>
    <w:p w14:paraId="50AD64BA" w14:textId="77777777" w:rsidR="00B66738" w:rsidRPr="0096671D" w:rsidRDefault="0096671D" w:rsidP="005E6D29">
      <w:pPr>
        <w:pStyle w:val="ListParagraph"/>
        <w:numPr>
          <w:ilvl w:val="0"/>
          <w:numId w:val="3"/>
        </w:numPr>
        <w:autoSpaceDE w:val="0"/>
        <w:autoSpaceDN w:val="0"/>
        <w:adjustRightInd w:val="0"/>
        <w:snapToGrid w:val="0"/>
        <w:ind w:right="2430"/>
        <w:rPr>
          <w:rFonts w:asciiTheme="minorHAnsi" w:eastAsia="Times New Roman" w:hAnsiTheme="minorHAnsi" w:cs="Calibri"/>
          <w:color w:val="000000"/>
          <w:szCs w:val="24"/>
          <w:lang w:val="x-none"/>
        </w:rPr>
      </w:pPr>
      <w:r w:rsidRPr="0096671D">
        <w:rPr>
          <w:rFonts w:asciiTheme="minorHAnsi" w:eastAsia="Times New Roman" w:hAnsiTheme="minorHAnsi" w:cs="Calibri"/>
          <w:color w:val="000000"/>
          <w:lang w:val="x-none"/>
        </w:rPr>
        <w:t>NORA’s RD&amp;D activities are conducted at the Country’s first liquid heating fuels research center in Plainview, NY</w:t>
      </w:r>
    </w:p>
    <w:p w14:paraId="26FE04F2" w14:textId="77777777" w:rsidR="00B66738" w:rsidRPr="0096671D" w:rsidRDefault="00B66738" w:rsidP="005E6D29">
      <w:pPr>
        <w:ind w:right="288"/>
        <w:contextualSpacing/>
        <w:textAlignment w:val="baseline"/>
        <w:rPr>
          <w:rFonts w:asciiTheme="minorHAnsi" w:eastAsia="Constantia" w:hAnsiTheme="minorHAnsi" w:cs="Calibri"/>
          <w:color w:val="000000"/>
        </w:rPr>
      </w:pPr>
    </w:p>
    <w:p w14:paraId="7A10756D" w14:textId="77777777" w:rsidR="00B66738" w:rsidRPr="0096671D" w:rsidRDefault="0096671D" w:rsidP="005E6D29">
      <w:pPr>
        <w:pStyle w:val="Heading1"/>
        <w:spacing w:line="240" w:lineRule="auto"/>
        <w:ind w:left="720" w:hanging="360"/>
        <w:contextualSpacing/>
        <w:rPr>
          <w:rFonts w:asciiTheme="minorHAnsi" w:eastAsia="Aptos" w:hAnsiTheme="minorHAnsi" w:cs="Calibri"/>
          <w:sz w:val="24"/>
          <w:szCs w:val="24"/>
        </w:rPr>
      </w:pPr>
      <w:r w:rsidRPr="0096671D">
        <w:rPr>
          <w:rFonts w:asciiTheme="minorHAnsi" w:eastAsia="Aptos" w:hAnsiTheme="minorHAnsi" w:cs="Calibri"/>
          <w:sz w:val="24"/>
          <w:szCs w:val="24"/>
        </w:rPr>
        <w:t>Heating Oil Efficiency &amp; Upgrade Program</w:t>
      </w:r>
    </w:p>
    <w:p w14:paraId="6475DBAB" w14:textId="77777777" w:rsidR="00B66738" w:rsidRPr="0096671D" w:rsidRDefault="00B66738" w:rsidP="005E6D29">
      <w:pPr>
        <w:ind w:right="288"/>
        <w:contextualSpacing/>
        <w:textAlignment w:val="baseline"/>
        <w:rPr>
          <w:rFonts w:asciiTheme="minorHAnsi" w:eastAsia="Constantia" w:hAnsiTheme="minorHAnsi" w:cs="Calibri"/>
          <w:color w:val="000000"/>
        </w:rPr>
      </w:pPr>
    </w:p>
    <w:p w14:paraId="18791FBE" w14:textId="77777777" w:rsidR="00B66738" w:rsidRPr="0096671D" w:rsidRDefault="0096671D" w:rsidP="005E6D29">
      <w:pPr>
        <w:autoSpaceDE w:val="0"/>
        <w:autoSpaceDN w:val="0"/>
        <w:adjustRightInd w:val="0"/>
        <w:snapToGrid w:val="0"/>
        <w:contextualSpacing/>
        <w:rPr>
          <w:rFonts w:asciiTheme="minorHAnsi" w:eastAsia="Times New Roman" w:hAnsiTheme="minorHAnsi" w:cs="Calibri"/>
          <w:b/>
          <w:color w:val="000000"/>
          <w:lang w:val="x-none"/>
        </w:rPr>
      </w:pPr>
      <w:r w:rsidRPr="0096671D">
        <w:rPr>
          <w:rFonts w:asciiTheme="minorHAnsi" w:eastAsia="Times New Roman" w:hAnsiTheme="minorHAnsi" w:cs="Calibri"/>
          <w:noProof/>
          <w:color w:val="000000"/>
          <w:szCs w:val="24"/>
          <w:lang w:val="x-none"/>
        </w:rPr>
        <w:drawing>
          <wp:anchor distT="0" distB="0" distL="114300" distR="114300" simplePos="0" relativeHeight="251660288" behindDoc="1" locked="0" layoutInCell="1" allowOverlap="1" wp14:anchorId="365CC94F" wp14:editId="20A3AA87">
            <wp:simplePos x="0" y="0"/>
            <wp:positionH relativeFrom="column">
              <wp:posOffset>5529525</wp:posOffset>
            </wp:positionH>
            <wp:positionV relativeFrom="paragraph">
              <wp:posOffset>40419</wp:posOffset>
            </wp:positionV>
            <wp:extent cx="1371600" cy="791845"/>
            <wp:effectExtent l="0" t="0" r="0" b="8255"/>
            <wp:wrapSquare wrapText="bothSides"/>
            <wp:docPr id="10651046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104661" name="Picture 1065104661"/>
                    <pic:cNvPicPr/>
                  </pic:nvPicPr>
                  <pic:blipFill>
                    <a:blip r:embed="rId11">
                      <a:extLst>
                        <a:ext uri="{28A0092B-C50C-407E-A947-70E740481C1C}">
                          <a14:useLocalDpi xmlns:a14="http://schemas.microsoft.com/office/drawing/2010/main" val="0"/>
                        </a:ext>
                      </a:extLst>
                    </a:blip>
                    <a:stretch>
                      <a:fillRect/>
                    </a:stretch>
                  </pic:blipFill>
                  <pic:spPr>
                    <a:xfrm>
                      <a:off x="0" y="0"/>
                      <a:ext cx="1371600" cy="791845"/>
                    </a:xfrm>
                    <a:prstGeom prst="rect">
                      <a:avLst/>
                    </a:prstGeom>
                  </pic:spPr>
                </pic:pic>
              </a:graphicData>
            </a:graphic>
            <wp14:sizeRelH relativeFrom="page">
              <wp14:pctWidth>0</wp14:pctWidth>
            </wp14:sizeRelH>
            <wp14:sizeRelV relativeFrom="page">
              <wp14:pctHeight>0</wp14:pctHeight>
            </wp14:sizeRelV>
          </wp:anchor>
        </w:drawing>
      </w:r>
      <w:r w:rsidRPr="0096671D">
        <w:rPr>
          <w:rFonts w:asciiTheme="minorHAnsi" w:eastAsia="Times New Roman" w:hAnsiTheme="minorHAnsi" w:cs="Calibri"/>
          <w:b/>
          <w:color w:val="000000"/>
          <w:lang w:val="x-none"/>
        </w:rPr>
        <w:t>Heating Appliance Upgrade Program—helping thousands of homeowners upgrade</w:t>
      </w:r>
    </w:p>
    <w:p w14:paraId="79C36FB9" w14:textId="77777777" w:rsidR="00B66738" w:rsidRPr="0096671D" w:rsidRDefault="0096671D" w:rsidP="005E6D29">
      <w:pPr>
        <w:autoSpaceDE w:val="0"/>
        <w:autoSpaceDN w:val="0"/>
        <w:adjustRightInd w:val="0"/>
        <w:snapToGrid w:val="0"/>
        <w:contextualSpacing/>
        <w:rPr>
          <w:rFonts w:asciiTheme="minorHAnsi" w:eastAsia="Times New Roman" w:hAnsiTheme="minorHAnsi" w:cs="Calibri"/>
          <w:b/>
          <w:color w:val="000000"/>
          <w:lang w:val="x-none"/>
        </w:rPr>
      </w:pPr>
      <w:r w:rsidRPr="0096671D">
        <w:rPr>
          <w:rFonts w:asciiTheme="minorHAnsi" w:eastAsia="Times New Roman" w:hAnsiTheme="minorHAnsi" w:cs="Calibri"/>
          <w:b/>
          <w:color w:val="000000"/>
          <w:lang w:val="x-none"/>
        </w:rPr>
        <w:t>to a more efficient heating system.</w:t>
      </w:r>
    </w:p>
    <w:p w14:paraId="59A1F2C8" w14:textId="77777777" w:rsidR="00B66738" w:rsidRPr="0096671D" w:rsidRDefault="0096671D" w:rsidP="005E6D29">
      <w:pPr>
        <w:autoSpaceDE w:val="0"/>
        <w:autoSpaceDN w:val="0"/>
        <w:adjustRightInd w:val="0"/>
        <w:snapToGrid w:val="0"/>
        <w:contextualSpacing/>
        <w:rPr>
          <w:rFonts w:asciiTheme="minorHAnsi" w:eastAsia="Times New Roman" w:hAnsiTheme="minorHAnsi" w:cs="Calibri"/>
          <w:color w:val="000000"/>
          <w:lang w:val="x-none"/>
        </w:rPr>
      </w:pPr>
      <w:r w:rsidRPr="0096671D">
        <w:rPr>
          <w:rFonts w:asciiTheme="minorHAnsi" w:eastAsia="Times New Roman" w:hAnsiTheme="minorHAnsi" w:cs="Calibri"/>
          <w:color w:val="000000"/>
          <w:lang w:val="x-none"/>
        </w:rPr>
        <w:t>NORA has completed over 16,500 upgrades in 21 states. Since January, 2021 upgrades have resulted in:</w:t>
      </w:r>
    </w:p>
    <w:p w14:paraId="34EBD61F" w14:textId="77777777" w:rsidR="00B66738" w:rsidRPr="0096671D" w:rsidRDefault="0096671D" w:rsidP="005E6D29">
      <w:pPr>
        <w:pStyle w:val="ListParagraph"/>
        <w:numPr>
          <w:ilvl w:val="0"/>
          <w:numId w:val="4"/>
        </w:numPr>
        <w:autoSpaceDE w:val="0"/>
        <w:autoSpaceDN w:val="0"/>
        <w:adjustRightInd w:val="0"/>
        <w:snapToGrid w:val="0"/>
        <w:rPr>
          <w:rFonts w:asciiTheme="minorHAnsi" w:eastAsia="Times New Roman" w:hAnsiTheme="minorHAnsi" w:cs="Calibri"/>
          <w:color w:val="000000"/>
          <w:lang w:val="x-none"/>
        </w:rPr>
      </w:pPr>
      <w:r w:rsidRPr="0096671D">
        <w:rPr>
          <w:rFonts w:asciiTheme="minorHAnsi" w:eastAsia="Times New Roman" w:hAnsiTheme="minorHAnsi" w:cs="Calibri"/>
          <w:color w:val="000000"/>
          <w:lang w:val="x-none"/>
        </w:rPr>
        <w:t>Over 1.75 million gallons of total fuel savings each year due to the upgrade</w:t>
      </w:r>
    </w:p>
    <w:p w14:paraId="56823994" w14:textId="77777777" w:rsidR="00B66738" w:rsidRPr="0096671D" w:rsidRDefault="0096671D" w:rsidP="005E6D29">
      <w:pPr>
        <w:pStyle w:val="ListParagraph"/>
        <w:numPr>
          <w:ilvl w:val="0"/>
          <w:numId w:val="4"/>
        </w:numPr>
        <w:autoSpaceDE w:val="0"/>
        <w:autoSpaceDN w:val="0"/>
        <w:adjustRightInd w:val="0"/>
        <w:snapToGrid w:val="0"/>
        <w:rPr>
          <w:rFonts w:asciiTheme="minorHAnsi" w:eastAsia="Times New Roman" w:hAnsiTheme="minorHAnsi" w:cs="Calibri"/>
          <w:color w:val="000000"/>
          <w:lang w:val="x-none"/>
        </w:rPr>
      </w:pPr>
      <w:r w:rsidRPr="0096671D">
        <w:rPr>
          <w:rFonts w:asciiTheme="minorHAnsi" w:eastAsia="Times New Roman" w:hAnsiTheme="minorHAnsi" w:cs="Calibri"/>
          <w:color w:val="000000"/>
          <w:lang w:val="x-none"/>
        </w:rPr>
        <w:t>More than $6.3 million in total fuel cost savings each year due to the upgrade</w:t>
      </w:r>
    </w:p>
    <w:p w14:paraId="0FF61C96" w14:textId="6C6C0C17" w:rsidR="00B66738" w:rsidRPr="0096671D" w:rsidRDefault="0096671D" w:rsidP="005E6D29">
      <w:pPr>
        <w:pStyle w:val="ListParagraph"/>
        <w:numPr>
          <w:ilvl w:val="0"/>
          <w:numId w:val="4"/>
        </w:numPr>
        <w:autoSpaceDE w:val="0"/>
        <w:autoSpaceDN w:val="0"/>
        <w:adjustRightInd w:val="0"/>
        <w:snapToGrid w:val="0"/>
        <w:rPr>
          <w:rFonts w:asciiTheme="minorHAnsi" w:eastAsia="Times New Roman" w:hAnsiTheme="minorHAnsi" w:cs="Calibri"/>
          <w:color w:val="000000"/>
          <w:lang w:val="x-none"/>
        </w:rPr>
      </w:pPr>
      <w:r w:rsidRPr="0096671D">
        <w:rPr>
          <w:rFonts w:asciiTheme="minorHAnsi" w:eastAsia="Times New Roman" w:hAnsiTheme="minorHAnsi" w:cs="Calibri"/>
          <w:color w:val="000000"/>
          <w:lang w:val="x-none"/>
        </w:rPr>
        <w:t>Nearly 25,593 metric tons of total CO2 emissions each year due to the upgrade</w:t>
      </w:r>
    </w:p>
    <w:p w14:paraId="37FBB541" w14:textId="77777777" w:rsidR="005E6D29" w:rsidRPr="0096671D" w:rsidRDefault="005E6D29" w:rsidP="005E6D29">
      <w:pPr>
        <w:pStyle w:val="ListParagraph"/>
        <w:autoSpaceDE w:val="0"/>
        <w:autoSpaceDN w:val="0"/>
        <w:adjustRightInd w:val="0"/>
        <w:snapToGrid w:val="0"/>
        <w:rPr>
          <w:rFonts w:asciiTheme="minorHAnsi" w:eastAsia="Times New Roman" w:hAnsiTheme="minorHAnsi" w:cs="Calibri"/>
          <w:color w:val="000000"/>
          <w:lang w:val="x-none"/>
        </w:rPr>
      </w:pPr>
    </w:p>
    <w:p w14:paraId="6FB35578" w14:textId="77777777" w:rsidR="00543BBE" w:rsidRPr="0096671D" w:rsidRDefault="0096671D" w:rsidP="00C4122B">
      <w:pPr>
        <w:pStyle w:val="Heading1"/>
        <w:spacing w:line="240" w:lineRule="auto"/>
        <w:contextualSpacing/>
        <w:rPr>
          <w:rFonts w:asciiTheme="minorHAnsi" w:eastAsia="Aptos" w:hAnsiTheme="minorHAnsi" w:cs="Calibri"/>
          <w:sz w:val="24"/>
          <w:szCs w:val="24"/>
        </w:rPr>
      </w:pPr>
      <w:r w:rsidRPr="0096671D">
        <w:rPr>
          <w:rFonts w:asciiTheme="minorHAnsi" w:eastAsia="Aptos" w:hAnsiTheme="minorHAnsi" w:cs="Calibri"/>
          <w:sz w:val="24"/>
          <w:szCs w:val="24"/>
        </w:rPr>
        <w:t>“The Ask”</w:t>
      </w:r>
    </w:p>
    <w:p w14:paraId="4DE2D886" w14:textId="77777777" w:rsidR="00A47980" w:rsidRPr="0096671D" w:rsidRDefault="00A47980" w:rsidP="005E6D29">
      <w:pPr>
        <w:contextualSpacing/>
        <w:rPr>
          <w:rFonts w:asciiTheme="minorHAnsi" w:hAnsiTheme="minorHAnsi" w:cs="Calibri"/>
        </w:rPr>
      </w:pPr>
    </w:p>
    <w:p w14:paraId="1299774E" w14:textId="2ABF6F56" w:rsidR="00A47980" w:rsidRPr="00E93C38" w:rsidRDefault="0096671D" w:rsidP="00C4122B">
      <w:pPr>
        <w:pStyle w:val="Heading1"/>
        <w:spacing w:line="240" w:lineRule="auto"/>
        <w:contextualSpacing/>
        <w:rPr>
          <w:rFonts w:asciiTheme="minorHAnsi" w:eastAsia="Aptos" w:hAnsiTheme="minorHAnsi" w:cs="Calibri"/>
          <w:i/>
          <w:iCs/>
          <w:sz w:val="24"/>
          <w:szCs w:val="24"/>
        </w:rPr>
      </w:pPr>
      <w:r w:rsidRPr="0096671D">
        <w:rPr>
          <w:rFonts w:asciiTheme="minorHAnsi" w:eastAsia="Aptos" w:hAnsiTheme="minorHAnsi" w:cs="Calibri"/>
          <w:sz w:val="24"/>
          <w:szCs w:val="24"/>
        </w:rPr>
        <w:t>Support NORA Reauthorization</w:t>
      </w:r>
      <w:r w:rsidR="00F83926">
        <w:rPr>
          <w:rFonts w:asciiTheme="minorHAnsi" w:eastAsia="Aptos" w:hAnsiTheme="minorHAnsi" w:cs="Calibri"/>
          <w:sz w:val="24"/>
          <w:szCs w:val="24"/>
        </w:rPr>
        <w:t xml:space="preserve"> </w:t>
      </w:r>
      <w:r w:rsidR="00F83926" w:rsidRPr="00E93C38">
        <w:rPr>
          <w:rFonts w:asciiTheme="minorHAnsi" w:eastAsia="Aptos" w:hAnsiTheme="minorHAnsi" w:cs="Calibri"/>
          <w:i/>
          <w:iCs/>
          <w:sz w:val="24"/>
          <w:szCs w:val="24"/>
        </w:rPr>
        <w:t>(</w:t>
      </w:r>
      <w:r w:rsidR="00F83926" w:rsidRPr="00E93C38">
        <w:rPr>
          <w:rFonts w:asciiTheme="minorHAnsi" w:eastAsia="Aptos" w:hAnsiTheme="minorHAnsi" w:cs="Calibri"/>
          <w:i/>
          <w:iCs/>
          <w:sz w:val="24"/>
          <w:szCs w:val="24"/>
        </w:rPr>
        <w:t>Committees: House and Senate Agriculture Committees</w:t>
      </w:r>
      <w:r w:rsidR="00F83926" w:rsidRPr="00E93C38">
        <w:rPr>
          <w:rFonts w:asciiTheme="minorHAnsi" w:eastAsia="Aptos" w:hAnsiTheme="minorHAnsi" w:cs="Calibri"/>
          <w:i/>
          <w:iCs/>
          <w:sz w:val="24"/>
          <w:szCs w:val="24"/>
        </w:rPr>
        <w:t>)</w:t>
      </w:r>
    </w:p>
    <w:p w14:paraId="2482B105" w14:textId="77777777" w:rsidR="00A47980" w:rsidRPr="0096671D" w:rsidRDefault="00A47980" w:rsidP="005E6D29">
      <w:pPr>
        <w:contextualSpacing/>
        <w:rPr>
          <w:rFonts w:asciiTheme="minorHAnsi" w:hAnsiTheme="minorHAnsi" w:cs="Calibri"/>
        </w:rPr>
      </w:pPr>
    </w:p>
    <w:p w14:paraId="44CDE3CF" w14:textId="77777777" w:rsidR="00ED3133" w:rsidRPr="0096671D" w:rsidRDefault="0096671D" w:rsidP="005E6D29">
      <w:pPr>
        <w:autoSpaceDE w:val="0"/>
        <w:autoSpaceDN w:val="0"/>
        <w:adjustRightInd w:val="0"/>
        <w:snapToGrid w:val="0"/>
        <w:contextualSpacing/>
        <w:rPr>
          <w:rFonts w:asciiTheme="minorHAnsi" w:eastAsia="Times New Roman" w:hAnsiTheme="minorHAnsi" w:cs="Calibri"/>
          <w:b/>
          <w:bCs/>
          <w:color w:val="000000"/>
          <w:lang w:val="x-none"/>
        </w:rPr>
      </w:pPr>
      <w:r w:rsidRPr="0096671D">
        <w:rPr>
          <w:rFonts w:asciiTheme="minorHAnsi" w:eastAsia="Times New Roman" w:hAnsiTheme="minorHAnsi" w:cs="Calibri"/>
          <w:b/>
          <w:bCs/>
          <w:color w:val="000000"/>
          <w:lang w:val="x-none"/>
        </w:rPr>
        <w:t>NORA reauthorization is crucial for the liquid fuel heating industry to continue providing consumers with advanced alternative fuels, innovative technologies, and cost-savings.</w:t>
      </w:r>
      <w:r w:rsidR="00F1233C" w:rsidRPr="0096671D">
        <w:rPr>
          <w:rFonts w:asciiTheme="minorHAnsi" w:eastAsia="Times New Roman" w:hAnsiTheme="minorHAnsi" w:cs="Calibri"/>
          <w:b/>
          <w:bCs/>
          <w:color w:val="000000"/>
          <w:lang w:val="x-none"/>
        </w:rPr>
        <w:t xml:space="preserve"> </w:t>
      </w:r>
      <w:r w:rsidRPr="0096671D">
        <w:rPr>
          <w:rFonts w:asciiTheme="minorHAnsi" w:eastAsia="Times New Roman" w:hAnsiTheme="minorHAnsi" w:cs="Calibri"/>
          <w:color w:val="000000"/>
          <w:lang w:val="x-none"/>
        </w:rPr>
        <w:t xml:space="preserve">NORA has enjoyed bipartisan and bicameral support since its initial authorization in 2000. </w:t>
      </w:r>
    </w:p>
    <w:p w14:paraId="5FACF6EF" w14:textId="40FFA8DA" w:rsidR="00B66738" w:rsidRPr="004435DA" w:rsidRDefault="0096671D" w:rsidP="0069408A">
      <w:pPr>
        <w:pStyle w:val="ListParagraph"/>
        <w:numPr>
          <w:ilvl w:val="0"/>
          <w:numId w:val="5"/>
        </w:numPr>
        <w:autoSpaceDE w:val="0"/>
        <w:autoSpaceDN w:val="0"/>
        <w:adjustRightInd w:val="0"/>
        <w:snapToGrid w:val="0"/>
        <w:rPr>
          <w:rFonts w:asciiTheme="minorHAnsi" w:eastAsia="Constantia" w:hAnsiTheme="minorHAnsi" w:cs="Calibri"/>
          <w:color w:val="000000"/>
        </w:rPr>
      </w:pPr>
      <w:r w:rsidRPr="0096671D">
        <w:rPr>
          <w:rFonts w:asciiTheme="minorHAnsi" w:eastAsia="Times New Roman" w:hAnsiTheme="minorHAnsi" w:cs="Calibri"/>
          <w:color w:val="000000"/>
          <w:lang w:val="x-none"/>
        </w:rPr>
        <w:t xml:space="preserve">We urge Congress to </w:t>
      </w:r>
      <w:r w:rsidR="00704B6E">
        <w:rPr>
          <w:rFonts w:asciiTheme="minorHAnsi" w:eastAsia="Times New Roman" w:hAnsiTheme="minorHAnsi" w:cs="Calibri"/>
          <w:color w:val="000000"/>
          <w:lang w:val="x-none"/>
        </w:rPr>
        <w:t xml:space="preserve">support an extension of the NORA program that will provide NORA </w:t>
      </w:r>
      <w:r w:rsidRPr="0096671D">
        <w:rPr>
          <w:rFonts w:asciiTheme="minorHAnsi" w:eastAsia="Times New Roman" w:hAnsiTheme="minorHAnsi" w:cs="Calibri"/>
          <w:color w:val="000000"/>
          <w:lang w:val="x-none"/>
        </w:rPr>
        <w:t>with the needed certainty to continue long-term research and development, real estate leases, education training certifications, and partnerships.</w:t>
      </w:r>
    </w:p>
    <w:p w14:paraId="098A152E" w14:textId="77777777" w:rsidR="00ED3133" w:rsidRPr="0096671D" w:rsidRDefault="00ED3133" w:rsidP="005E6D29">
      <w:pPr>
        <w:ind w:right="360"/>
        <w:contextualSpacing/>
        <w:textAlignment w:val="baseline"/>
        <w:rPr>
          <w:rFonts w:asciiTheme="minorHAnsi" w:eastAsia="Constantia" w:hAnsiTheme="minorHAnsi" w:cs="Calibri"/>
          <w:color w:val="000000"/>
        </w:rPr>
      </w:pPr>
    </w:p>
    <w:p w14:paraId="115B3DD6" w14:textId="50D66C18" w:rsidR="00ED3133" w:rsidRPr="00111CC2" w:rsidRDefault="0096671D" w:rsidP="00C4122B">
      <w:pPr>
        <w:pStyle w:val="Heading1"/>
        <w:spacing w:line="240" w:lineRule="auto"/>
        <w:contextualSpacing/>
        <w:rPr>
          <w:rFonts w:asciiTheme="minorHAnsi" w:eastAsia="Aptos" w:hAnsiTheme="minorHAnsi" w:cs="Calibri"/>
          <w:sz w:val="24"/>
          <w:szCs w:val="24"/>
        </w:rPr>
      </w:pPr>
      <w:r w:rsidRPr="0096671D">
        <w:rPr>
          <w:rFonts w:asciiTheme="minorHAnsi" w:eastAsia="Aptos" w:hAnsiTheme="minorHAnsi" w:cs="Calibri"/>
          <w:sz w:val="24"/>
          <w:szCs w:val="24"/>
        </w:rPr>
        <w:t xml:space="preserve">Support the </w:t>
      </w:r>
      <w:r w:rsidRPr="0096671D">
        <w:rPr>
          <w:rFonts w:asciiTheme="minorHAnsi" w:eastAsia="Aptos" w:hAnsiTheme="minorHAnsi" w:cs="Calibri"/>
          <w:i/>
          <w:iCs/>
          <w:sz w:val="24"/>
          <w:szCs w:val="24"/>
        </w:rPr>
        <w:t>Energy Choice Act</w:t>
      </w:r>
      <w:r w:rsidR="00111CC2">
        <w:rPr>
          <w:rFonts w:asciiTheme="minorHAnsi" w:eastAsia="Aptos" w:hAnsiTheme="minorHAnsi" w:cs="Calibri"/>
          <w:i/>
          <w:iCs/>
          <w:sz w:val="24"/>
          <w:szCs w:val="24"/>
        </w:rPr>
        <w:t xml:space="preserve"> </w:t>
      </w:r>
      <w:r w:rsidR="00111CC2">
        <w:rPr>
          <w:rFonts w:asciiTheme="minorHAnsi" w:eastAsia="Aptos" w:hAnsiTheme="minorHAnsi" w:cs="Calibri"/>
          <w:sz w:val="24"/>
          <w:szCs w:val="24"/>
        </w:rPr>
        <w:t>(H.R. 3699</w:t>
      </w:r>
      <w:r w:rsidR="00CD00D1">
        <w:rPr>
          <w:rFonts w:asciiTheme="minorHAnsi" w:eastAsia="Aptos" w:hAnsiTheme="minorHAnsi" w:cs="Calibri"/>
          <w:sz w:val="24"/>
          <w:szCs w:val="24"/>
        </w:rPr>
        <w:t>, S 1945)</w:t>
      </w:r>
      <w:r w:rsidR="00F83926">
        <w:rPr>
          <w:rFonts w:asciiTheme="minorHAnsi" w:eastAsia="Aptos" w:hAnsiTheme="minorHAnsi" w:cs="Calibri"/>
          <w:sz w:val="24"/>
          <w:szCs w:val="24"/>
        </w:rPr>
        <w:t xml:space="preserve"> </w:t>
      </w:r>
      <w:r w:rsidR="00F83926" w:rsidRPr="00E93C38">
        <w:rPr>
          <w:rFonts w:asciiTheme="minorHAnsi" w:eastAsia="Aptos" w:hAnsiTheme="minorHAnsi" w:cs="Calibri"/>
          <w:i/>
          <w:iCs/>
          <w:sz w:val="24"/>
          <w:szCs w:val="24"/>
        </w:rPr>
        <w:t>(Committees: House Energy and Commerce, Senate Energy and Natural Resources)</w:t>
      </w:r>
    </w:p>
    <w:p w14:paraId="745FF017" w14:textId="77777777" w:rsidR="00ED3133" w:rsidRPr="0096671D" w:rsidRDefault="00ED3133" w:rsidP="005E6D29">
      <w:pPr>
        <w:ind w:right="360"/>
        <w:contextualSpacing/>
        <w:textAlignment w:val="baseline"/>
        <w:rPr>
          <w:rFonts w:asciiTheme="minorHAnsi" w:eastAsia="Constantia" w:hAnsiTheme="minorHAnsi" w:cs="Calibri"/>
          <w:color w:val="000000"/>
        </w:rPr>
      </w:pPr>
    </w:p>
    <w:p w14:paraId="2C3F3CC2" w14:textId="77777777" w:rsidR="009C203D" w:rsidRPr="0096671D" w:rsidRDefault="0096671D" w:rsidP="005E6D29">
      <w:pPr>
        <w:ind w:right="360"/>
        <w:contextualSpacing/>
        <w:textAlignment w:val="baseline"/>
        <w:rPr>
          <w:rFonts w:asciiTheme="minorHAnsi" w:eastAsia="Constantia" w:hAnsiTheme="minorHAnsi" w:cs="Calibri"/>
          <w:b/>
          <w:bCs/>
          <w:color w:val="000000"/>
        </w:rPr>
      </w:pPr>
      <w:r w:rsidRPr="0096671D">
        <w:rPr>
          <w:rFonts w:asciiTheme="minorHAnsi" w:eastAsia="Constantia" w:hAnsiTheme="minorHAnsi" w:cs="Calibri"/>
          <w:b/>
          <w:bCs/>
          <w:color w:val="000000"/>
        </w:rPr>
        <w:t xml:space="preserve">The </w:t>
      </w:r>
      <w:r w:rsidRPr="0096671D">
        <w:rPr>
          <w:rFonts w:asciiTheme="minorHAnsi" w:eastAsia="Constantia" w:hAnsiTheme="minorHAnsi" w:cs="Calibri"/>
          <w:b/>
          <w:bCs/>
          <w:i/>
          <w:iCs/>
          <w:color w:val="000000"/>
        </w:rPr>
        <w:t xml:space="preserve">Energy Choice Act </w:t>
      </w:r>
      <w:r w:rsidRPr="0096671D">
        <w:rPr>
          <w:rFonts w:asciiTheme="minorHAnsi" w:eastAsia="Constantia" w:hAnsiTheme="minorHAnsi" w:cs="Calibri"/>
          <w:b/>
          <w:bCs/>
          <w:color w:val="000000"/>
        </w:rPr>
        <w:t xml:space="preserve">would ensure Americans can maintain their preferred energy source, promoting market competition and an all-of-the-above energy approach. </w:t>
      </w:r>
    </w:p>
    <w:p w14:paraId="6342649E" w14:textId="77777777" w:rsidR="009C203D" w:rsidRPr="0096671D" w:rsidRDefault="009C203D" w:rsidP="005E6D29">
      <w:pPr>
        <w:ind w:right="360"/>
        <w:contextualSpacing/>
        <w:textAlignment w:val="baseline"/>
        <w:rPr>
          <w:rFonts w:asciiTheme="minorHAnsi" w:eastAsia="Constantia" w:hAnsiTheme="minorHAnsi" w:cs="Calibri"/>
          <w:b/>
          <w:bCs/>
          <w:color w:val="000000"/>
        </w:rPr>
      </w:pPr>
    </w:p>
    <w:p w14:paraId="1F8A88C9" w14:textId="110AB805" w:rsidR="00ED3133" w:rsidRPr="0096671D" w:rsidRDefault="0096671D" w:rsidP="005E6D29">
      <w:pPr>
        <w:ind w:right="360"/>
        <w:contextualSpacing/>
        <w:textAlignment w:val="baseline"/>
        <w:rPr>
          <w:rFonts w:asciiTheme="minorHAnsi" w:eastAsia="Constantia" w:hAnsiTheme="minorHAnsi" w:cs="Calibri"/>
          <w:b/>
          <w:bCs/>
          <w:color w:val="000000"/>
        </w:rPr>
      </w:pPr>
      <w:r w:rsidRPr="0096671D">
        <w:rPr>
          <w:rFonts w:asciiTheme="minorHAnsi" w:eastAsia="Constantia" w:hAnsiTheme="minorHAnsi" w:cs="Calibri"/>
          <w:color w:val="000000"/>
        </w:rPr>
        <w:t>The legislation would:</w:t>
      </w:r>
    </w:p>
    <w:p w14:paraId="20AE4630" w14:textId="77777777" w:rsidR="00ED3133" w:rsidRPr="0096671D" w:rsidRDefault="0096671D" w:rsidP="005E6D29">
      <w:pPr>
        <w:pStyle w:val="ListParagraph"/>
        <w:numPr>
          <w:ilvl w:val="0"/>
          <w:numId w:val="5"/>
        </w:numPr>
        <w:ind w:right="360"/>
        <w:textAlignment w:val="baseline"/>
        <w:rPr>
          <w:rFonts w:asciiTheme="minorHAnsi" w:eastAsia="Constantia" w:hAnsiTheme="minorHAnsi" w:cs="Calibri"/>
          <w:color w:val="000000"/>
        </w:rPr>
      </w:pPr>
      <w:r w:rsidRPr="0096671D">
        <w:rPr>
          <w:rFonts w:asciiTheme="minorHAnsi" w:eastAsia="Constantia" w:hAnsiTheme="minorHAnsi" w:cs="Calibri"/>
          <w:color w:val="000000"/>
        </w:rPr>
        <w:t>Prohibit states or local governments from discriminating against types or sources of energy through bans on an energy service's connection, reconnection, modification, installation, or expansion.</w:t>
      </w:r>
    </w:p>
    <w:p w14:paraId="58C757A2" w14:textId="77777777" w:rsidR="00CA4C01" w:rsidRPr="0096671D" w:rsidRDefault="0096671D" w:rsidP="005E6D29">
      <w:pPr>
        <w:pStyle w:val="ListParagraph"/>
        <w:numPr>
          <w:ilvl w:val="0"/>
          <w:numId w:val="5"/>
        </w:numPr>
        <w:ind w:right="360"/>
        <w:textAlignment w:val="baseline"/>
        <w:rPr>
          <w:rFonts w:asciiTheme="minorHAnsi" w:eastAsia="Constantia" w:hAnsiTheme="minorHAnsi" w:cs="Calibri"/>
          <w:color w:val="000000"/>
        </w:rPr>
      </w:pPr>
      <w:r w:rsidRPr="0096671D">
        <w:rPr>
          <w:rFonts w:asciiTheme="minorHAnsi" w:eastAsia="Constantia" w:hAnsiTheme="minorHAnsi" w:cs="Calibri"/>
          <w:color w:val="000000"/>
        </w:rPr>
        <w:t xml:space="preserve">Allow Americans to select the heating solution best suited for their household and budget. </w:t>
      </w:r>
    </w:p>
    <w:p w14:paraId="7279C488" w14:textId="77777777" w:rsidR="00CA4C01" w:rsidRDefault="0096671D" w:rsidP="005E6D29">
      <w:pPr>
        <w:pStyle w:val="ListParagraph"/>
        <w:numPr>
          <w:ilvl w:val="0"/>
          <w:numId w:val="5"/>
        </w:numPr>
        <w:ind w:right="360"/>
        <w:textAlignment w:val="baseline"/>
        <w:rPr>
          <w:rFonts w:asciiTheme="minorHAnsi" w:eastAsia="Constantia" w:hAnsiTheme="minorHAnsi" w:cs="Calibri"/>
          <w:color w:val="000000"/>
        </w:rPr>
      </w:pPr>
      <w:r w:rsidRPr="0096671D">
        <w:rPr>
          <w:rFonts w:asciiTheme="minorHAnsi" w:eastAsia="Constantia" w:hAnsiTheme="minorHAnsi" w:cs="Calibri"/>
          <w:color w:val="000000"/>
        </w:rPr>
        <w:t>Maintain the availability of more energy efficient fuels like biomass-based diesel and renewable diesel.</w:t>
      </w:r>
    </w:p>
    <w:p w14:paraId="5CF1994C" w14:textId="77777777" w:rsidR="00A014A5" w:rsidRPr="006E376E" w:rsidRDefault="00A014A5" w:rsidP="00A014A5">
      <w:pPr>
        <w:ind w:right="360"/>
        <w:textAlignment w:val="baseline"/>
        <w:rPr>
          <w:rFonts w:asciiTheme="minorHAnsi" w:eastAsia="Constantia" w:hAnsiTheme="minorHAnsi" w:cs="Calibri"/>
          <w:b/>
          <w:bCs/>
          <w:color w:val="000000"/>
        </w:rPr>
      </w:pPr>
    </w:p>
    <w:p w14:paraId="3CE3EF83" w14:textId="7E053D55" w:rsidR="00704B6E" w:rsidRPr="00D12864" w:rsidRDefault="00704B6E" w:rsidP="00A014A5">
      <w:pPr>
        <w:ind w:right="360"/>
        <w:textAlignment w:val="baseline"/>
        <w:rPr>
          <w:rFonts w:asciiTheme="minorHAnsi" w:eastAsia="Constantia" w:hAnsiTheme="minorHAnsi" w:cs="Calibri"/>
          <w:b/>
          <w:bCs/>
          <w:i/>
          <w:iCs/>
          <w:color w:val="0070C0"/>
          <w:sz w:val="24"/>
          <w:szCs w:val="24"/>
        </w:rPr>
      </w:pPr>
      <w:r>
        <w:rPr>
          <w:rFonts w:asciiTheme="minorHAnsi" w:eastAsia="Constantia" w:hAnsiTheme="minorHAnsi" w:cs="Calibri"/>
          <w:b/>
          <w:bCs/>
          <w:color w:val="0070C0"/>
          <w:sz w:val="24"/>
          <w:szCs w:val="24"/>
        </w:rPr>
        <w:t>Support the Northeast Home Heating Oil Reserve</w:t>
      </w:r>
      <w:r w:rsidR="00F83926">
        <w:rPr>
          <w:rFonts w:asciiTheme="minorHAnsi" w:eastAsia="Constantia" w:hAnsiTheme="minorHAnsi" w:cs="Calibri"/>
          <w:b/>
          <w:bCs/>
          <w:color w:val="0070C0"/>
          <w:sz w:val="24"/>
          <w:szCs w:val="24"/>
        </w:rPr>
        <w:t xml:space="preserve"> (H.R. 6933)</w:t>
      </w:r>
      <w:r w:rsidR="00D12864">
        <w:rPr>
          <w:rFonts w:asciiTheme="minorHAnsi" w:eastAsia="Constantia" w:hAnsiTheme="minorHAnsi" w:cs="Calibri"/>
          <w:b/>
          <w:bCs/>
          <w:color w:val="0070C0"/>
          <w:sz w:val="24"/>
          <w:szCs w:val="24"/>
        </w:rPr>
        <w:t xml:space="preserve"> </w:t>
      </w:r>
      <w:r w:rsidR="00D12864">
        <w:rPr>
          <w:rFonts w:asciiTheme="minorHAnsi" w:eastAsia="Constantia" w:hAnsiTheme="minorHAnsi" w:cs="Calibri"/>
          <w:b/>
          <w:bCs/>
          <w:i/>
          <w:iCs/>
          <w:color w:val="0070C0"/>
          <w:sz w:val="24"/>
          <w:szCs w:val="24"/>
        </w:rPr>
        <w:t>(Committees: House Energy and Commerce)</w:t>
      </w:r>
    </w:p>
    <w:p w14:paraId="75E27F78" w14:textId="77777777" w:rsidR="00704B6E" w:rsidRDefault="00704B6E" w:rsidP="00A014A5">
      <w:pPr>
        <w:ind w:right="360"/>
        <w:textAlignment w:val="baseline"/>
        <w:rPr>
          <w:rFonts w:asciiTheme="minorHAnsi" w:eastAsia="Constantia" w:hAnsiTheme="minorHAnsi" w:cs="Calibri"/>
          <w:b/>
          <w:bCs/>
          <w:color w:val="0070C0"/>
          <w:sz w:val="24"/>
          <w:szCs w:val="24"/>
        </w:rPr>
      </w:pPr>
    </w:p>
    <w:p w14:paraId="07E260A4" w14:textId="5F43EEB5" w:rsidR="00704B6E" w:rsidRPr="00704B6E" w:rsidRDefault="00704B6E" w:rsidP="00704B6E">
      <w:pPr>
        <w:ind w:right="360"/>
        <w:textAlignment w:val="baseline"/>
        <w:rPr>
          <w:rFonts w:asciiTheme="minorHAnsi" w:eastAsia="Constantia" w:hAnsiTheme="minorHAnsi" w:cs="Calibri"/>
        </w:rPr>
      </w:pPr>
      <w:r w:rsidRPr="00C46C3F">
        <w:rPr>
          <w:rFonts w:asciiTheme="minorHAnsi" w:eastAsia="Constantia" w:hAnsiTheme="minorHAnsi" w:cs="Calibri"/>
        </w:rPr>
        <w:t>The</w:t>
      </w:r>
      <w:r>
        <w:rPr>
          <w:rFonts w:asciiTheme="minorHAnsi" w:eastAsia="Constantia" w:hAnsiTheme="minorHAnsi" w:cs="Calibri"/>
        </w:rPr>
        <w:t xml:space="preserve"> </w:t>
      </w:r>
      <w:r w:rsidRPr="00704B6E">
        <w:rPr>
          <w:rFonts w:asciiTheme="minorHAnsi" w:eastAsia="Constantia" w:hAnsiTheme="minorHAnsi" w:cs="Calibri"/>
        </w:rPr>
        <w:t>Northeast Home Heating Oil Reserve</w:t>
      </w:r>
      <w:r>
        <w:rPr>
          <w:rFonts w:asciiTheme="minorHAnsi" w:eastAsia="Constantia" w:hAnsiTheme="minorHAnsi" w:cs="Calibri"/>
        </w:rPr>
        <w:t xml:space="preserve"> (NEHHOR)</w:t>
      </w:r>
      <w:r w:rsidRPr="00704B6E">
        <w:rPr>
          <w:rFonts w:asciiTheme="minorHAnsi" w:eastAsia="Constantia" w:hAnsiTheme="minorHAnsi" w:cs="Calibri"/>
        </w:rPr>
        <w:t xml:space="preserve"> is a critical energy security asset designed to protect consumers in the Northeast from supply disruptions and price spikes during periods of peak demand</w:t>
      </w:r>
      <w:r>
        <w:rPr>
          <w:rFonts w:asciiTheme="minorHAnsi" w:eastAsia="Constantia" w:hAnsiTheme="minorHAnsi" w:cs="Calibri"/>
        </w:rPr>
        <w:t xml:space="preserve">, </w:t>
      </w:r>
      <w:r w:rsidRPr="00704B6E">
        <w:rPr>
          <w:rFonts w:asciiTheme="minorHAnsi" w:eastAsia="Constantia" w:hAnsiTheme="minorHAnsi" w:cs="Calibri"/>
        </w:rPr>
        <w:t>particularly in the winter months. With millions of households in the region relying on heating oil, maintaining a ready and reliable reserve is essential to ensuring affordability and access during emergencies.</w:t>
      </w:r>
    </w:p>
    <w:p w14:paraId="12A2343F" w14:textId="77777777" w:rsidR="00704B6E" w:rsidRPr="00704B6E" w:rsidRDefault="00704B6E" w:rsidP="00704B6E">
      <w:pPr>
        <w:ind w:right="360"/>
        <w:textAlignment w:val="baseline"/>
        <w:rPr>
          <w:rFonts w:asciiTheme="minorHAnsi" w:eastAsia="Constantia" w:hAnsiTheme="minorHAnsi" w:cs="Calibri"/>
        </w:rPr>
      </w:pPr>
    </w:p>
    <w:p w14:paraId="73BAFEFE" w14:textId="77777777" w:rsidR="00704B6E" w:rsidRPr="00704B6E" w:rsidRDefault="00704B6E" w:rsidP="00704B6E">
      <w:pPr>
        <w:ind w:right="360"/>
        <w:textAlignment w:val="baseline"/>
        <w:rPr>
          <w:rFonts w:asciiTheme="minorHAnsi" w:eastAsia="Constantia" w:hAnsiTheme="minorHAnsi" w:cs="Calibri"/>
        </w:rPr>
      </w:pPr>
      <w:r w:rsidRPr="00704B6E">
        <w:rPr>
          <w:rFonts w:asciiTheme="minorHAnsi" w:eastAsia="Constantia" w:hAnsiTheme="minorHAnsi" w:cs="Calibri"/>
        </w:rPr>
        <w:t>Congress and the Administration should prioritize continued funding, modernization, and operational flexibility for NEHHOR. This includes maintaining adequate reserve volumes, ensuring timely release mechanisms, and evaluating opportunities to expand storage capacity or improve geographic distribution to better serve vulnerable populations.</w:t>
      </w:r>
    </w:p>
    <w:p w14:paraId="67D5599F" w14:textId="77777777" w:rsidR="00704B6E" w:rsidRPr="00704B6E" w:rsidRDefault="00704B6E" w:rsidP="00704B6E">
      <w:pPr>
        <w:ind w:right="360"/>
        <w:textAlignment w:val="baseline"/>
        <w:rPr>
          <w:rFonts w:asciiTheme="minorHAnsi" w:eastAsia="Constantia" w:hAnsiTheme="minorHAnsi" w:cs="Calibri"/>
        </w:rPr>
      </w:pPr>
    </w:p>
    <w:p w14:paraId="4E8E9D61" w14:textId="33C74E30" w:rsidR="00704B6E" w:rsidRDefault="00704B6E" w:rsidP="00704B6E">
      <w:pPr>
        <w:ind w:right="360"/>
        <w:textAlignment w:val="baseline"/>
        <w:rPr>
          <w:rFonts w:asciiTheme="minorHAnsi" w:eastAsia="Constantia" w:hAnsiTheme="minorHAnsi" w:cs="Calibri"/>
        </w:rPr>
      </w:pPr>
      <w:r w:rsidRPr="00704B6E">
        <w:rPr>
          <w:rFonts w:asciiTheme="minorHAnsi" w:eastAsia="Constantia" w:hAnsiTheme="minorHAnsi" w:cs="Calibri"/>
        </w:rPr>
        <w:t>Strengthening NEHHOR represents a practical, targeted tool to stabilize markets and protect consumers without distorting broader fuel pricing dynamics. At a time of heightened geopolitical uncertainty, a robust and responsive reserve provides an importa</w:t>
      </w:r>
      <w:r>
        <w:rPr>
          <w:rFonts w:asciiTheme="minorHAnsi" w:eastAsia="Constantia" w:hAnsiTheme="minorHAnsi" w:cs="Calibri"/>
        </w:rPr>
        <w:t xml:space="preserve">nt safeguard against changes in supply and price volatility. </w:t>
      </w:r>
    </w:p>
    <w:p w14:paraId="549523C9" w14:textId="77777777" w:rsidR="00704B6E" w:rsidRDefault="00704B6E" w:rsidP="00A014A5">
      <w:pPr>
        <w:ind w:right="360"/>
        <w:textAlignment w:val="baseline"/>
        <w:rPr>
          <w:rFonts w:asciiTheme="minorHAnsi" w:eastAsia="Constantia" w:hAnsiTheme="minorHAnsi" w:cs="Calibri"/>
        </w:rPr>
      </w:pPr>
    </w:p>
    <w:p w14:paraId="567A59D6" w14:textId="390CE82A" w:rsidR="00A014A5" w:rsidRPr="003D75A1" w:rsidRDefault="006E376E" w:rsidP="00A014A5">
      <w:pPr>
        <w:ind w:right="360"/>
        <w:textAlignment w:val="baseline"/>
        <w:rPr>
          <w:rFonts w:asciiTheme="minorHAnsi" w:eastAsia="Constantia" w:hAnsiTheme="minorHAnsi" w:cs="Calibri"/>
          <w:b/>
          <w:bCs/>
          <w:i/>
          <w:iCs/>
          <w:color w:val="0070C0"/>
          <w:sz w:val="24"/>
          <w:szCs w:val="24"/>
        </w:rPr>
      </w:pPr>
      <w:r w:rsidRPr="006E376E">
        <w:rPr>
          <w:rFonts w:asciiTheme="minorHAnsi" w:eastAsia="Constantia" w:hAnsiTheme="minorHAnsi" w:cs="Calibri"/>
          <w:b/>
          <w:bCs/>
          <w:color w:val="0070C0"/>
          <w:sz w:val="24"/>
          <w:szCs w:val="24"/>
        </w:rPr>
        <w:t>E</w:t>
      </w:r>
      <w:r w:rsidR="00A014A5" w:rsidRPr="006E376E">
        <w:rPr>
          <w:rFonts w:asciiTheme="minorHAnsi" w:eastAsia="Constantia" w:hAnsiTheme="minorHAnsi" w:cs="Calibri"/>
          <w:b/>
          <w:bCs/>
          <w:color w:val="0070C0"/>
          <w:sz w:val="24"/>
          <w:szCs w:val="24"/>
        </w:rPr>
        <w:t xml:space="preserve">xtend the </w:t>
      </w:r>
      <w:r w:rsidRPr="006E376E">
        <w:rPr>
          <w:rFonts w:asciiTheme="minorHAnsi" w:eastAsia="Constantia" w:hAnsiTheme="minorHAnsi" w:cs="Calibri"/>
          <w:b/>
          <w:bCs/>
          <w:color w:val="0070C0"/>
          <w:sz w:val="24"/>
          <w:szCs w:val="24"/>
        </w:rPr>
        <w:t>$1 per Gallon B</w:t>
      </w:r>
      <w:r w:rsidR="00A014A5" w:rsidRPr="006E376E">
        <w:rPr>
          <w:rFonts w:asciiTheme="minorHAnsi" w:eastAsia="Constantia" w:hAnsiTheme="minorHAnsi" w:cs="Calibri"/>
          <w:b/>
          <w:bCs/>
          <w:color w:val="0070C0"/>
          <w:sz w:val="24"/>
          <w:szCs w:val="24"/>
        </w:rPr>
        <w:t xml:space="preserve">iodiesel </w:t>
      </w:r>
      <w:r w:rsidRPr="006E376E">
        <w:rPr>
          <w:rFonts w:asciiTheme="minorHAnsi" w:eastAsia="Constantia" w:hAnsiTheme="minorHAnsi" w:cs="Calibri"/>
          <w:b/>
          <w:bCs/>
          <w:color w:val="0070C0"/>
          <w:sz w:val="24"/>
          <w:szCs w:val="24"/>
        </w:rPr>
        <w:t>B</w:t>
      </w:r>
      <w:r w:rsidR="00A014A5" w:rsidRPr="006E376E">
        <w:rPr>
          <w:rFonts w:asciiTheme="minorHAnsi" w:eastAsia="Constantia" w:hAnsiTheme="minorHAnsi" w:cs="Calibri"/>
          <w:b/>
          <w:bCs/>
          <w:color w:val="0070C0"/>
          <w:sz w:val="24"/>
          <w:szCs w:val="24"/>
        </w:rPr>
        <w:t xml:space="preserve">lender's </w:t>
      </w:r>
      <w:r w:rsidRPr="006E376E">
        <w:rPr>
          <w:rFonts w:asciiTheme="minorHAnsi" w:eastAsia="Constantia" w:hAnsiTheme="minorHAnsi" w:cs="Calibri"/>
          <w:b/>
          <w:bCs/>
          <w:color w:val="0070C0"/>
          <w:sz w:val="24"/>
          <w:szCs w:val="24"/>
        </w:rPr>
        <w:t>T</w:t>
      </w:r>
      <w:r w:rsidR="00A014A5" w:rsidRPr="006E376E">
        <w:rPr>
          <w:rFonts w:asciiTheme="minorHAnsi" w:eastAsia="Constantia" w:hAnsiTheme="minorHAnsi" w:cs="Calibri"/>
          <w:b/>
          <w:bCs/>
          <w:color w:val="0070C0"/>
          <w:sz w:val="24"/>
          <w:szCs w:val="24"/>
        </w:rPr>
        <w:t>ax credit</w:t>
      </w:r>
      <w:r w:rsidR="009D72D3">
        <w:rPr>
          <w:rFonts w:asciiTheme="minorHAnsi" w:eastAsia="Constantia" w:hAnsiTheme="minorHAnsi" w:cs="Calibri"/>
          <w:b/>
          <w:bCs/>
          <w:color w:val="0070C0"/>
          <w:sz w:val="24"/>
          <w:szCs w:val="24"/>
        </w:rPr>
        <w:t xml:space="preserve"> (40A)</w:t>
      </w:r>
      <w:r w:rsidR="00F83926">
        <w:rPr>
          <w:rFonts w:asciiTheme="minorHAnsi" w:eastAsia="Constantia" w:hAnsiTheme="minorHAnsi" w:cs="Calibri"/>
          <w:b/>
          <w:bCs/>
          <w:color w:val="0070C0"/>
          <w:sz w:val="24"/>
          <w:szCs w:val="24"/>
        </w:rPr>
        <w:t xml:space="preserve"> </w:t>
      </w:r>
      <w:r w:rsidR="00F83926" w:rsidRPr="003D75A1">
        <w:rPr>
          <w:rFonts w:asciiTheme="minorHAnsi" w:eastAsia="Constantia" w:hAnsiTheme="minorHAnsi" w:cs="Calibri"/>
          <w:b/>
          <w:bCs/>
          <w:i/>
          <w:iCs/>
          <w:color w:val="0070C0"/>
          <w:sz w:val="24"/>
          <w:szCs w:val="24"/>
        </w:rPr>
        <w:t>(Committees: House Ways and Means, Senate Finance)</w:t>
      </w:r>
    </w:p>
    <w:p w14:paraId="2ED55C3B" w14:textId="77777777" w:rsidR="00A014A5" w:rsidRPr="00A014A5" w:rsidRDefault="00A014A5" w:rsidP="00A014A5">
      <w:pPr>
        <w:ind w:right="360"/>
        <w:textAlignment w:val="baseline"/>
        <w:rPr>
          <w:rFonts w:asciiTheme="minorHAnsi" w:eastAsia="Constantia" w:hAnsiTheme="minorHAnsi" w:cs="Calibri"/>
          <w:color w:val="000000"/>
        </w:rPr>
      </w:pPr>
    </w:p>
    <w:p w14:paraId="05066C3A" w14:textId="77777777" w:rsidR="00C46C3F" w:rsidRDefault="00C46C3F" w:rsidP="00C46C3F">
      <w:pPr>
        <w:contextualSpacing/>
        <w:rPr>
          <w:rFonts w:asciiTheme="minorHAnsi" w:eastAsia="Constantia" w:hAnsiTheme="minorHAnsi" w:cs="Calibri"/>
        </w:rPr>
      </w:pPr>
      <w:r w:rsidRPr="00C46C3F">
        <w:rPr>
          <w:rFonts w:asciiTheme="minorHAnsi" w:eastAsia="Constantia" w:hAnsiTheme="minorHAnsi" w:cs="Calibri"/>
        </w:rPr>
        <w:t xml:space="preserve">The $1/gallon biodiesel blender’s tax credit enables fuel marketers to deliver more affordable, cleaner-burning options to American consumers — including BioHeat® fuel blends that are available today in strengths ranging from 5% biodiesel (B5 BioHeat®) to 20% biodiesel (B20 BioHeat®).  The heating oil industry has a clear roadmap to achieve net-zero emissions: steadily increasing the percentage of biodiesel in BioHeat® while deploying highly efficient heating equipment. </w:t>
      </w:r>
    </w:p>
    <w:p w14:paraId="5FCE4BD4" w14:textId="77777777" w:rsidR="00C46C3F" w:rsidRDefault="00C46C3F" w:rsidP="00C46C3F">
      <w:pPr>
        <w:contextualSpacing/>
        <w:rPr>
          <w:rFonts w:asciiTheme="minorHAnsi" w:eastAsia="Constantia" w:hAnsiTheme="minorHAnsi" w:cs="Calibri"/>
        </w:rPr>
      </w:pPr>
    </w:p>
    <w:p w14:paraId="6D086AC0" w14:textId="62728E69" w:rsidR="00C46C3F" w:rsidRPr="00C46C3F" w:rsidRDefault="00C46C3F" w:rsidP="00C46C3F">
      <w:pPr>
        <w:contextualSpacing/>
        <w:rPr>
          <w:rFonts w:asciiTheme="minorHAnsi" w:eastAsia="Constantia" w:hAnsiTheme="minorHAnsi" w:cs="Calibri"/>
        </w:rPr>
      </w:pPr>
      <w:r w:rsidRPr="00C46C3F">
        <w:rPr>
          <w:rFonts w:asciiTheme="minorHAnsi" w:eastAsia="Constantia" w:hAnsiTheme="minorHAnsi" w:cs="Calibri"/>
        </w:rPr>
        <w:lastRenderedPageBreak/>
        <w:t>A non-retroactive extension of the Section 40A tax credit is essential to keeping this progress on track.  With energy costs continuing to climb, extending the credit represents a practical, immediate step toward stabilizing fuel prices and providing meaningful relief to families and businesses that depend on home heating oil, diesel, and other petroleum-based fuels.</w:t>
      </w:r>
    </w:p>
    <w:p w14:paraId="75D247B9" w14:textId="77777777" w:rsidR="00C4122B" w:rsidRPr="00C4122B" w:rsidRDefault="00C4122B" w:rsidP="00C4122B">
      <w:pPr>
        <w:ind w:right="360"/>
        <w:textAlignment w:val="baseline"/>
        <w:rPr>
          <w:rFonts w:asciiTheme="minorHAnsi" w:eastAsia="Constantia" w:hAnsiTheme="minorHAnsi" w:cs="Calibri"/>
          <w:color w:val="0070C0"/>
        </w:rPr>
      </w:pPr>
    </w:p>
    <w:p w14:paraId="5A6E78F8" w14:textId="4311E6CC" w:rsidR="00C4122B" w:rsidRPr="00F77074" w:rsidRDefault="00C4122B" w:rsidP="00C4122B">
      <w:pPr>
        <w:ind w:right="360"/>
        <w:textAlignment w:val="baseline"/>
        <w:rPr>
          <w:rFonts w:asciiTheme="minorHAnsi" w:eastAsia="Constantia" w:hAnsiTheme="minorHAnsi" w:cs="Calibri"/>
          <w:b/>
          <w:bCs/>
          <w:color w:val="0070C0"/>
          <w:sz w:val="24"/>
          <w:szCs w:val="24"/>
        </w:rPr>
      </w:pPr>
      <w:r w:rsidRPr="00F77074">
        <w:rPr>
          <w:rFonts w:asciiTheme="minorHAnsi" w:eastAsia="Constantia" w:hAnsiTheme="minorHAnsi" w:cs="Calibri"/>
          <w:b/>
          <w:bCs/>
          <w:color w:val="0070C0"/>
          <w:sz w:val="24"/>
          <w:szCs w:val="24"/>
        </w:rPr>
        <w:t>Permanently Waive the Jones Act</w:t>
      </w:r>
      <w:r w:rsidR="003D75A1">
        <w:rPr>
          <w:rFonts w:asciiTheme="minorHAnsi" w:eastAsia="Constantia" w:hAnsiTheme="minorHAnsi" w:cs="Calibri"/>
          <w:b/>
          <w:bCs/>
          <w:color w:val="0070C0"/>
          <w:sz w:val="24"/>
          <w:szCs w:val="24"/>
        </w:rPr>
        <w:t xml:space="preserve"> </w:t>
      </w:r>
      <w:r w:rsidR="003D75A1" w:rsidRPr="003D75A1">
        <w:rPr>
          <w:rFonts w:asciiTheme="minorHAnsi" w:eastAsia="Constantia" w:hAnsiTheme="minorHAnsi" w:cs="Calibri"/>
          <w:b/>
          <w:bCs/>
          <w:i/>
          <w:iCs/>
          <w:color w:val="0070C0"/>
          <w:sz w:val="24"/>
          <w:szCs w:val="24"/>
        </w:rPr>
        <w:t>(Committees: House Transportation; Senate Commerce, Science and Transportation)</w:t>
      </w:r>
    </w:p>
    <w:p w14:paraId="3C800309" w14:textId="731B0EBF" w:rsidR="00C4122B" w:rsidRPr="00F77074" w:rsidRDefault="00F77074" w:rsidP="00F77074">
      <w:pPr>
        <w:pStyle w:val="ListParagraph"/>
        <w:numPr>
          <w:ilvl w:val="0"/>
          <w:numId w:val="7"/>
        </w:numPr>
        <w:ind w:right="360"/>
        <w:textAlignment w:val="baseline"/>
        <w:rPr>
          <w:rFonts w:asciiTheme="minorHAnsi" w:eastAsia="Constantia" w:hAnsiTheme="minorHAnsi" w:cs="Calibri"/>
          <w:color w:val="000000"/>
        </w:rPr>
      </w:pPr>
      <w:r w:rsidRPr="00F77074">
        <w:rPr>
          <w:rFonts w:asciiTheme="minorHAnsi" w:eastAsia="Constantia" w:hAnsiTheme="minorHAnsi" w:cs="Calibri"/>
          <w:color w:val="000000"/>
        </w:rPr>
        <w:t>Waive the Jones Act (Merchant Marine Act of 1920): Temporarily allow foreign-flagged ships to transport fuel between U.S. ports to ease distribution bottlenecks. EMA applauds the Trump Administration for issuing the 60-day waiver in March 2026 and strongly urges Congress to pass a permanent solution.</w:t>
      </w:r>
    </w:p>
    <w:p w14:paraId="447577B6" w14:textId="77777777" w:rsidR="00ED3133" w:rsidRPr="0096671D" w:rsidRDefault="00ED3133" w:rsidP="005E6D29">
      <w:pPr>
        <w:ind w:right="360"/>
        <w:contextualSpacing/>
        <w:textAlignment w:val="baseline"/>
        <w:rPr>
          <w:rFonts w:asciiTheme="minorHAnsi" w:eastAsia="Constantia" w:hAnsiTheme="minorHAnsi" w:cs="Calibri"/>
          <w:color w:val="000000"/>
        </w:rPr>
      </w:pPr>
    </w:p>
    <w:p w14:paraId="314025FC" w14:textId="77777777" w:rsidR="00CA4C01" w:rsidRPr="0096671D" w:rsidRDefault="00CA4C01" w:rsidP="005E6D29">
      <w:pPr>
        <w:pBdr>
          <w:bottom w:val="single" w:sz="6" w:space="1" w:color="auto"/>
        </w:pBdr>
        <w:ind w:right="360"/>
        <w:contextualSpacing/>
        <w:textAlignment w:val="baseline"/>
        <w:rPr>
          <w:rFonts w:asciiTheme="minorHAnsi" w:eastAsia="Constantia" w:hAnsiTheme="minorHAnsi" w:cs="Calibri"/>
          <w:i/>
          <w:color w:val="000000"/>
        </w:rPr>
      </w:pPr>
    </w:p>
    <w:p w14:paraId="04FE06BF" w14:textId="69E8BB00" w:rsidR="00543BBE" w:rsidRPr="0096671D" w:rsidRDefault="0096671D" w:rsidP="005E6D29">
      <w:pPr>
        <w:spacing w:before="41" w:after="10496"/>
        <w:ind w:right="2016"/>
        <w:contextualSpacing/>
        <w:textAlignment w:val="baseline"/>
        <w:rPr>
          <w:rFonts w:asciiTheme="minorHAnsi" w:eastAsia="Constantia" w:hAnsiTheme="minorHAnsi" w:cs="Calibri"/>
          <w:b/>
          <w:color w:val="006FC0"/>
        </w:rPr>
        <w:sectPr w:rsidR="00543BBE" w:rsidRPr="0096671D" w:rsidSect="00AA7C8D">
          <w:footerReference w:type="default" r:id="rId12"/>
          <w:pgSz w:w="12240" w:h="15840"/>
          <w:pgMar w:top="720" w:right="720" w:bottom="576" w:left="720" w:header="720" w:footer="720" w:gutter="0"/>
          <w:cols w:space="720"/>
        </w:sectPr>
      </w:pPr>
      <w:r w:rsidRPr="0096671D">
        <w:rPr>
          <w:rFonts w:asciiTheme="minorHAnsi" w:eastAsia="Constantia" w:hAnsiTheme="minorHAnsi" w:cs="Calibri"/>
          <w:b/>
          <w:color w:val="006FC0"/>
        </w:rPr>
        <w:t>EMA Staff Contact:</w:t>
      </w:r>
      <w:r w:rsidRPr="0096671D">
        <w:rPr>
          <w:rFonts w:asciiTheme="minorHAnsi" w:eastAsia="Constantia" w:hAnsiTheme="minorHAnsi" w:cs="Calibri"/>
          <w:color w:val="000000"/>
        </w:rPr>
        <w:t xml:space="preserve"> Rob Underwood,</w:t>
      </w:r>
      <w:hyperlink r:id="rId13">
        <w:r w:rsidR="00543BBE" w:rsidRPr="0096671D">
          <w:rPr>
            <w:rFonts w:asciiTheme="minorHAnsi" w:eastAsia="Constantia" w:hAnsiTheme="minorHAnsi" w:cs="Calibri"/>
            <w:color w:val="0000FF"/>
            <w:u w:val="single"/>
          </w:rPr>
          <w:t xml:space="preserve"> runderwood@emamerica.org</w:t>
        </w:r>
      </w:hyperlink>
      <w:hyperlink r:id="rId14">
        <w:r w:rsidR="00543BBE" w:rsidRPr="0096671D">
          <w:rPr>
            <w:rFonts w:asciiTheme="minorHAnsi" w:eastAsia="Constantia" w:hAnsiTheme="minorHAnsi" w:cs="Calibri"/>
            <w:color w:val="0000FF"/>
            <w:u w:val="single"/>
          </w:rPr>
          <w:t>,</w:t>
        </w:r>
      </w:hyperlink>
      <w:r w:rsidRPr="0096671D">
        <w:rPr>
          <w:rFonts w:asciiTheme="minorHAnsi" w:eastAsia="Constantia" w:hAnsiTheme="minorHAnsi" w:cs="Calibri"/>
          <w:color w:val="000000"/>
        </w:rPr>
        <w:t xml:space="preserve"> Austin Harrison, </w:t>
      </w:r>
      <w:hyperlink r:id="rId15" w:history="1">
        <w:r w:rsidR="005E6D29" w:rsidRPr="0096671D">
          <w:rPr>
            <w:rStyle w:val="Hyperlink"/>
            <w:rFonts w:asciiTheme="minorHAnsi" w:eastAsia="Constantia" w:hAnsiTheme="minorHAnsi" w:cs="Calibri"/>
          </w:rPr>
          <w:t>Austin.harrison@squirepb.com</w:t>
        </w:r>
      </w:hyperlink>
    </w:p>
    <w:p w14:paraId="20558AD5" w14:textId="77777777" w:rsidR="00543BBE" w:rsidRPr="0096671D" w:rsidRDefault="00543BBE" w:rsidP="005E6D29">
      <w:pPr>
        <w:spacing w:before="8"/>
        <w:contextualSpacing/>
        <w:textAlignment w:val="baseline"/>
        <w:rPr>
          <w:rFonts w:asciiTheme="minorHAnsi" w:eastAsia="Times New Roman" w:hAnsiTheme="minorHAnsi" w:cs="Calibri"/>
          <w:color w:val="000000"/>
          <w:spacing w:val="-9"/>
        </w:rPr>
      </w:pPr>
    </w:p>
    <w:sectPr w:rsidR="00543BBE" w:rsidRPr="0096671D">
      <w:type w:val="continuous"/>
      <w:pgSz w:w="12240" w:h="15840"/>
      <w:pgMar w:top="1120" w:right="10312" w:bottom="304"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EAEE1" w14:textId="77777777" w:rsidR="00044212" w:rsidRDefault="00044212">
      <w:r>
        <w:separator/>
      </w:r>
    </w:p>
  </w:endnote>
  <w:endnote w:type="continuationSeparator" w:id="0">
    <w:p w14:paraId="3BE24C82" w14:textId="77777777" w:rsidR="00044212" w:rsidRDefault="0004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nstantia">
    <w:panose1 w:val="02030602050306030303"/>
    <w:charset w:val="00"/>
    <w:family w:val="roman"/>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C9FA" w14:textId="240E6E23" w:rsidR="001E2301" w:rsidRPr="009C203D" w:rsidRDefault="009C203D">
    <w:pPr>
      <w:pStyle w:val="Footer"/>
      <w:rPr>
        <w:rFonts w:ascii="Calibri" w:hAnsi="Calibri" w:cs="Calibri"/>
      </w:rPr>
    </w:pPr>
    <w:r w:rsidRPr="009C203D">
      <w:rPr>
        <w:rFonts w:ascii="Calibri" w:hAnsi="Calibri" w:cs="Calibri"/>
      </w:rPr>
      <w:t>May 202</w:t>
    </w:r>
    <w:r w:rsidR="00C46C3F">
      <w:rPr>
        <w:rFonts w:ascii="Calibri" w:hAnsi="Calibri" w:cs="Calibri"/>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A8F1A" w14:textId="77777777" w:rsidR="00044212" w:rsidRDefault="00044212">
      <w:r>
        <w:separator/>
      </w:r>
    </w:p>
  </w:footnote>
  <w:footnote w:type="continuationSeparator" w:id="0">
    <w:p w14:paraId="517ACDAB" w14:textId="77777777" w:rsidR="00044212" w:rsidRDefault="00044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244D"/>
    <w:multiLevelType w:val="hybridMultilevel"/>
    <w:tmpl w:val="B1161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52D74"/>
    <w:multiLevelType w:val="hybridMultilevel"/>
    <w:tmpl w:val="6472DCBC"/>
    <w:lvl w:ilvl="0" w:tplc="3274F944">
      <w:start w:val="1"/>
      <w:numFmt w:val="bullet"/>
      <w:lvlText w:val=""/>
      <w:lvlJc w:val="left"/>
      <w:pPr>
        <w:ind w:left="720" w:hanging="360"/>
      </w:pPr>
      <w:rPr>
        <w:rFonts w:ascii="Symbol" w:hAnsi="Symbol" w:hint="default"/>
      </w:rPr>
    </w:lvl>
    <w:lvl w:ilvl="1" w:tplc="53484CDC" w:tentative="1">
      <w:start w:val="1"/>
      <w:numFmt w:val="bullet"/>
      <w:lvlText w:val="o"/>
      <w:lvlJc w:val="left"/>
      <w:pPr>
        <w:ind w:left="1440" w:hanging="360"/>
      </w:pPr>
      <w:rPr>
        <w:rFonts w:ascii="Courier New" w:hAnsi="Courier New" w:cs="Courier New" w:hint="default"/>
      </w:rPr>
    </w:lvl>
    <w:lvl w:ilvl="2" w:tplc="F00A35B0" w:tentative="1">
      <w:start w:val="1"/>
      <w:numFmt w:val="bullet"/>
      <w:lvlText w:val=""/>
      <w:lvlJc w:val="left"/>
      <w:pPr>
        <w:ind w:left="2160" w:hanging="360"/>
      </w:pPr>
      <w:rPr>
        <w:rFonts w:ascii="Wingdings" w:hAnsi="Wingdings" w:hint="default"/>
      </w:rPr>
    </w:lvl>
    <w:lvl w:ilvl="3" w:tplc="E9E81A54" w:tentative="1">
      <w:start w:val="1"/>
      <w:numFmt w:val="bullet"/>
      <w:lvlText w:val=""/>
      <w:lvlJc w:val="left"/>
      <w:pPr>
        <w:ind w:left="2880" w:hanging="360"/>
      </w:pPr>
      <w:rPr>
        <w:rFonts w:ascii="Symbol" w:hAnsi="Symbol" w:hint="default"/>
      </w:rPr>
    </w:lvl>
    <w:lvl w:ilvl="4" w:tplc="570CBFFA" w:tentative="1">
      <w:start w:val="1"/>
      <w:numFmt w:val="bullet"/>
      <w:lvlText w:val="o"/>
      <w:lvlJc w:val="left"/>
      <w:pPr>
        <w:ind w:left="3600" w:hanging="360"/>
      </w:pPr>
      <w:rPr>
        <w:rFonts w:ascii="Courier New" w:hAnsi="Courier New" w:cs="Courier New" w:hint="default"/>
      </w:rPr>
    </w:lvl>
    <w:lvl w:ilvl="5" w:tplc="6810C83C" w:tentative="1">
      <w:start w:val="1"/>
      <w:numFmt w:val="bullet"/>
      <w:lvlText w:val=""/>
      <w:lvlJc w:val="left"/>
      <w:pPr>
        <w:ind w:left="4320" w:hanging="360"/>
      </w:pPr>
      <w:rPr>
        <w:rFonts w:ascii="Wingdings" w:hAnsi="Wingdings" w:hint="default"/>
      </w:rPr>
    </w:lvl>
    <w:lvl w:ilvl="6" w:tplc="23025728" w:tentative="1">
      <w:start w:val="1"/>
      <w:numFmt w:val="bullet"/>
      <w:lvlText w:val=""/>
      <w:lvlJc w:val="left"/>
      <w:pPr>
        <w:ind w:left="5040" w:hanging="360"/>
      </w:pPr>
      <w:rPr>
        <w:rFonts w:ascii="Symbol" w:hAnsi="Symbol" w:hint="default"/>
      </w:rPr>
    </w:lvl>
    <w:lvl w:ilvl="7" w:tplc="18083218" w:tentative="1">
      <w:start w:val="1"/>
      <w:numFmt w:val="bullet"/>
      <w:lvlText w:val="o"/>
      <w:lvlJc w:val="left"/>
      <w:pPr>
        <w:ind w:left="5760" w:hanging="360"/>
      </w:pPr>
      <w:rPr>
        <w:rFonts w:ascii="Courier New" w:hAnsi="Courier New" w:cs="Courier New" w:hint="default"/>
      </w:rPr>
    </w:lvl>
    <w:lvl w:ilvl="8" w:tplc="53544FAE" w:tentative="1">
      <w:start w:val="1"/>
      <w:numFmt w:val="bullet"/>
      <w:lvlText w:val=""/>
      <w:lvlJc w:val="left"/>
      <w:pPr>
        <w:ind w:left="6480" w:hanging="360"/>
      </w:pPr>
      <w:rPr>
        <w:rFonts w:ascii="Wingdings" w:hAnsi="Wingdings" w:hint="default"/>
      </w:rPr>
    </w:lvl>
  </w:abstractNum>
  <w:abstractNum w:abstractNumId="2" w15:restartNumberingAfterBreak="0">
    <w:nsid w:val="19643D46"/>
    <w:multiLevelType w:val="hybridMultilevel"/>
    <w:tmpl w:val="CCAED0B0"/>
    <w:lvl w:ilvl="0" w:tplc="FB80E698">
      <w:start w:val="1"/>
      <w:numFmt w:val="bullet"/>
      <w:lvlText w:val=""/>
      <w:lvlJc w:val="left"/>
      <w:pPr>
        <w:ind w:left="720" w:hanging="360"/>
      </w:pPr>
      <w:rPr>
        <w:rFonts w:ascii="Symbol" w:hAnsi="Symbol" w:hint="default"/>
      </w:rPr>
    </w:lvl>
    <w:lvl w:ilvl="1" w:tplc="1B002C08" w:tentative="1">
      <w:start w:val="1"/>
      <w:numFmt w:val="bullet"/>
      <w:lvlText w:val="o"/>
      <w:lvlJc w:val="left"/>
      <w:pPr>
        <w:ind w:left="1440" w:hanging="360"/>
      </w:pPr>
      <w:rPr>
        <w:rFonts w:ascii="Courier New" w:hAnsi="Courier New" w:cs="Courier New" w:hint="default"/>
      </w:rPr>
    </w:lvl>
    <w:lvl w:ilvl="2" w:tplc="881ADEBC" w:tentative="1">
      <w:start w:val="1"/>
      <w:numFmt w:val="bullet"/>
      <w:lvlText w:val=""/>
      <w:lvlJc w:val="left"/>
      <w:pPr>
        <w:ind w:left="2160" w:hanging="360"/>
      </w:pPr>
      <w:rPr>
        <w:rFonts w:ascii="Wingdings" w:hAnsi="Wingdings" w:hint="default"/>
      </w:rPr>
    </w:lvl>
    <w:lvl w:ilvl="3" w:tplc="564E6144" w:tentative="1">
      <w:start w:val="1"/>
      <w:numFmt w:val="bullet"/>
      <w:lvlText w:val=""/>
      <w:lvlJc w:val="left"/>
      <w:pPr>
        <w:ind w:left="2880" w:hanging="360"/>
      </w:pPr>
      <w:rPr>
        <w:rFonts w:ascii="Symbol" w:hAnsi="Symbol" w:hint="default"/>
      </w:rPr>
    </w:lvl>
    <w:lvl w:ilvl="4" w:tplc="F01055D4" w:tentative="1">
      <w:start w:val="1"/>
      <w:numFmt w:val="bullet"/>
      <w:lvlText w:val="o"/>
      <w:lvlJc w:val="left"/>
      <w:pPr>
        <w:ind w:left="3600" w:hanging="360"/>
      </w:pPr>
      <w:rPr>
        <w:rFonts w:ascii="Courier New" w:hAnsi="Courier New" w:cs="Courier New" w:hint="default"/>
      </w:rPr>
    </w:lvl>
    <w:lvl w:ilvl="5" w:tplc="37CC0100" w:tentative="1">
      <w:start w:val="1"/>
      <w:numFmt w:val="bullet"/>
      <w:lvlText w:val=""/>
      <w:lvlJc w:val="left"/>
      <w:pPr>
        <w:ind w:left="4320" w:hanging="360"/>
      </w:pPr>
      <w:rPr>
        <w:rFonts w:ascii="Wingdings" w:hAnsi="Wingdings" w:hint="default"/>
      </w:rPr>
    </w:lvl>
    <w:lvl w:ilvl="6" w:tplc="B3265800" w:tentative="1">
      <w:start w:val="1"/>
      <w:numFmt w:val="bullet"/>
      <w:lvlText w:val=""/>
      <w:lvlJc w:val="left"/>
      <w:pPr>
        <w:ind w:left="5040" w:hanging="360"/>
      </w:pPr>
      <w:rPr>
        <w:rFonts w:ascii="Symbol" w:hAnsi="Symbol" w:hint="default"/>
      </w:rPr>
    </w:lvl>
    <w:lvl w:ilvl="7" w:tplc="6506F06C" w:tentative="1">
      <w:start w:val="1"/>
      <w:numFmt w:val="bullet"/>
      <w:lvlText w:val="o"/>
      <w:lvlJc w:val="left"/>
      <w:pPr>
        <w:ind w:left="5760" w:hanging="360"/>
      </w:pPr>
      <w:rPr>
        <w:rFonts w:ascii="Courier New" w:hAnsi="Courier New" w:cs="Courier New" w:hint="default"/>
      </w:rPr>
    </w:lvl>
    <w:lvl w:ilvl="8" w:tplc="F168B9E6" w:tentative="1">
      <w:start w:val="1"/>
      <w:numFmt w:val="bullet"/>
      <w:lvlText w:val=""/>
      <w:lvlJc w:val="left"/>
      <w:pPr>
        <w:ind w:left="6480" w:hanging="360"/>
      </w:pPr>
      <w:rPr>
        <w:rFonts w:ascii="Wingdings" w:hAnsi="Wingdings" w:hint="default"/>
      </w:rPr>
    </w:lvl>
  </w:abstractNum>
  <w:abstractNum w:abstractNumId="3" w15:restartNumberingAfterBreak="0">
    <w:nsid w:val="451A32B6"/>
    <w:multiLevelType w:val="hybridMultilevel"/>
    <w:tmpl w:val="367CB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9B1A26"/>
    <w:multiLevelType w:val="hybridMultilevel"/>
    <w:tmpl w:val="C8A04A52"/>
    <w:lvl w:ilvl="0" w:tplc="9B4655DE">
      <w:start w:val="1"/>
      <w:numFmt w:val="bullet"/>
      <w:lvlText w:val=""/>
      <w:lvlJc w:val="left"/>
      <w:pPr>
        <w:ind w:left="720" w:hanging="360"/>
      </w:pPr>
      <w:rPr>
        <w:rFonts w:ascii="Symbol" w:hAnsi="Symbol" w:hint="default"/>
      </w:rPr>
    </w:lvl>
    <w:lvl w:ilvl="1" w:tplc="A8DA5154" w:tentative="1">
      <w:start w:val="1"/>
      <w:numFmt w:val="bullet"/>
      <w:lvlText w:val="o"/>
      <w:lvlJc w:val="left"/>
      <w:pPr>
        <w:ind w:left="1440" w:hanging="360"/>
      </w:pPr>
      <w:rPr>
        <w:rFonts w:ascii="Courier New" w:hAnsi="Courier New" w:cs="Courier New" w:hint="default"/>
      </w:rPr>
    </w:lvl>
    <w:lvl w:ilvl="2" w:tplc="8A2665C6" w:tentative="1">
      <w:start w:val="1"/>
      <w:numFmt w:val="bullet"/>
      <w:lvlText w:val=""/>
      <w:lvlJc w:val="left"/>
      <w:pPr>
        <w:ind w:left="2160" w:hanging="360"/>
      </w:pPr>
      <w:rPr>
        <w:rFonts w:ascii="Wingdings" w:hAnsi="Wingdings" w:hint="default"/>
      </w:rPr>
    </w:lvl>
    <w:lvl w:ilvl="3" w:tplc="FB78E996" w:tentative="1">
      <w:start w:val="1"/>
      <w:numFmt w:val="bullet"/>
      <w:lvlText w:val=""/>
      <w:lvlJc w:val="left"/>
      <w:pPr>
        <w:ind w:left="2880" w:hanging="360"/>
      </w:pPr>
      <w:rPr>
        <w:rFonts w:ascii="Symbol" w:hAnsi="Symbol" w:hint="default"/>
      </w:rPr>
    </w:lvl>
    <w:lvl w:ilvl="4" w:tplc="CCBA94E0" w:tentative="1">
      <w:start w:val="1"/>
      <w:numFmt w:val="bullet"/>
      <w:lvlText w:val="o"/>
      <w:lvlJc w:val="left"/>
      <w:pPr>
        <w:ind w:left="3600" w:hanging="360"/>
      </w:pPr>
      <w:rPr>
        <w:rFonts w:ascii="Courier New" w:hAnsi="Courier New" w:cs="Courier New" w:hint="default"/>
      </w:rPr>
    </w:lvl>
    <w:lvl w:ilvl="5" w:tplc="F9167A2A" w:tentative="1">
      <w:start w:val="1"/>
      <w:numFmt w:val="bullet"/>
      <w:lvlText w:val=""/>
      <w:lvlJc w:val="left"/>
      <w:pPr>
        <w:ind w:left="4320" w:hanging="360"/>
      </w:pPr>
      <w:rPr>
        <w:rFonts w:ascii="Wingdings" w:hAnsi="Wingdings" w:hint="default"/>
      </w:rPr>
    </w:lvl>
    <w:lvl w:ilvl="6" w:tplc="12A8F9D8" w:tentative="1">
      <w:start w:val="1"/>
      <w:numFmt w:val="bullet"/>
      <w:lvlText w:val=""/>
      <w:lvlJc w:val="left"/>
      <w:pPr>
        <w:ind w:left="5040" w:hanging="360"/>
      </w:pPr>
      <w:rPr>
        <w:rFonts w:ascii="Symbol" w:hAnsi="Symbol" w:hint="default"/>
      </w:rPr>
    </w:lvl>
    <w:lvl w:ilvl="7" w:tplc="94A2AD84" w:tentative="1">
      <w:start w:val="1"/>
      <w:numFmt w:val="bullet"/>
      <w:lvlText w:val="o"/>
      <w:lvlJc w:val="left"/>
      <w:pPr>
        <w:ind w:left="5760" w:hanging="360"/>
      </w:pPr>
      <w:rPr>
        <w:rFonts w:ascii="Courier New" w:hAnsi="Courier New" w:cs="Courier New" w:hint="default"/>
      </w:rPr>
    </w:lvl>
    <w:lvl w:ilvl="8" w:tplc="0D16720E" w:tentative="1">
      <w:start w:val="1"/>
      <w:numFmt w:val="bullet"/>
      <w:lvlText w:val=""/>
      <w:lvlJc w:val="left"/>
      <w:pPr>
        <w:ind w:left="6480" w:hanging="360"/>
      </w:pPr>
      <w:rPr>
        <w:rFonts w:ascii="Wingdings" w:hAnsi="Wingdings" w:hint="default"/>
      </w:rPr>
    </w:lvl>
  </w:abstractNum>
  <w:abstractNum w:abstractNumId="5" w15:restartNumberingAfterBreak="0">
    <w:nsid w:val="581035C1"/>
    <w:multiLevelType w:val="hybridMultilevel"/>
    <w:tmpl w:val="EA7E84DA"/>
    <w:lvl w:ilvl="0" w:tplc="28D015E8">
      <w:start w:val="1"/>
      <w:numFmt w:val="bullet"/>
      <w:lvlText w:val=""/>
      <w:lvlJc w:val="left"/>
      <w:pPr>
        <w:ind w:left="720" w:hanging="360"/>
      </w:pPr>
      <w:rPr>
        <w:rFonts w:ascii="Symbol" w:hAnsi="Symbol" w:hint="default"/>
      </w:rPr>
    </w:lvl>
    <w:lvl w:ilvl="1" w:tplc="A60478A0" w:tentative="1">
      <w:start w:val="1"/>
      <w:numFmt w:val="bullet"/>
      <w:lvlText w:val="o"/>
      <w:lvlJc w:val="left"/>
      <w:pPr>
        <w:ind w:left="1440" w:hanging="360"/>
      </w:pPr>
      <w:rPr>
        <w:rFonts w:ascii="Courier New" w:hAnsi="Courier New" w:cs="Courier New" w:hint="default"/>
      </w:rPr>
    </w:lvl>
    <w:lvl w:ilvl="2" w:tplc="00947A54" w:tentative="1">
      <w:start w:val="1"/>
      <w:numFmt w:val="bullet"/>
      <w:lvlText w:val=""/>
      <w:lvlJc w:val="left"/>
      <w:pPr>
        <w:ind w:left="2160" w:hanging="360"/>
      </w:pPr>
      <w:rPr>
        <w:rFonts w:ascii="Wingdings" w:hAnsi="Wingdings" w:hint="default"/>
      </w:rPr>
    </w:lvl>
    <w:lvl w:ilvl="3" w:tplc="453A4F12" w:tentative="1">
      <w:start w:val="1"/>
      <w:numFmt w:val="bullet"/>
      <w:lvlText w:val=""/>
      <w:lvlJc w:val="left"/>
      <w:pPr>
        <w:ind w:left="2880" w:hanging="360"/>
      </w:pPr>
      <w:rPr>
        <w:rFonts w:ascii="Symbol" w:hAnsi="Symbol" w:hint="default"/>
      </w:rPr>
    </w:lvl>
    <w:lvl w:ilvl="4" w:tplc="C94E6EFA" w:tentative="1">
      <w:start w:val="1"/>
      <w:numFmt w:val="bullet"/>
      <w:lvlText w:val="o"/>
      <w:lvlJc w:val="left"/>
      <w:pPr>
        <w:ind w:left="3600" w:hanging="360"/>
      </w:pPr>
      <w:rPr>
        <w:rFonts w:ascii="Courier New" w:hAnsi="Courier New" w:cs="Courier New" w:hint="default"/>
      </w:rPr>
    </w:lvl>
    <w:lvl w:ilvl="5" w:tplc="D97A9A92" w:tentative="1">
      <w:start w:val="1"/>
      <w:numFmt w:val="bullet"/>
      <w:lvlText w:val=""/>
      <w:lvlJc w:val="left"/>
      <w:pPr>
        <w:ind w:left="4320" w:hanging="360"/>
      </w:pPr>
      <w:rPr>
        <w:rFonts w:ascii="Wingdings" w:hAnsi="Wingdings" w:hint="default"/>
      </w:rPr>
    </w:lvl>
    <w:lvl w:ilvl="6" w:tplc="3A02CE4C" w:tentative="1">
      <w:start w:val="1"/>
      <w:numFmt w:val="bullet"/>
      <w:lvlText w:val=""/>
      <w:lvlJc w:val="left"/>
      <w:pPr>
        <w:ind w:left="5040" w:hanging="360"/>
      </w:pPr>
      <w:rPr>
        <w:rFonts w:ascii="Symbol" w:hAnsi="Symbol" w:hint="default"/>
      </w:rPr>
    </w:lvl>
    <w:lvl w:ilvl="7" w:tplc="CD3E7CFA" w:tentative="1">
      <w:start w:val="1"/>
      <w:numFmt w:val="bullet"/>
      <w:lvlText w:val="o"/>
      <w:lvlJc w:val="left"/>
      <w:pPr>
        <w:ind w:left="5760" w:hanging="360"/>
      </w:pPr>
      <w:rPr>
        <w:rFonts w:ascii="Courier New" w:hAnsi="Courier New" w:cs="Courier New" w:hint="default"/>
      </w:rPr>
    </w:lvl>
    <w:lvl w:ilvl="8" w:tplc="F5AEBA72" w:tentative="1">
      <w:start w:val="1"/>
      <w:numFmt w:val="bullet"/>
      <w:lvlText w:val=""/>
      <w:lvlJc w:val="left"/>
      <w:pPr>
        <w:ind w:left="6480" w:hanging="360"/>
      </w:pPr>
      <w:rPr>
        <w:rFonts w:ascii="Wingdings" w:hAnsi="Wingdings" w:hint="default"/>
      </w:rPr>
    </w:lvl>
  </w:abstractNum>
  <w:abstractNum w:abstractNumId="6" w15:restartNumberingAfterBreak="0">
    <w:nsid w:val="6FBC3FF8"/>
    <w:multiLevelType w:val="multilevel"/>
    <w:tmpl w:val="AC98D75A"/>
    <w:lvl w:ilvl="0">
      <w:numFmt w:val="bullet"/>
      <w:lvlText w:val="·"/>
      <w:lvlJc w:val="left"/>
      <w:pPr>
        <w:tabs>
          <w:tab w:val="left" w:pos="36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84724973">
    <w:abstractNumId w:val="6"/>
  </w:num>
  <w:num w:numId="2" w16cid:durableId="902643869">
    <w:abstractNumId w:val="2"/>
  </w:num>
  <w:num w:numId="3" w16cid:durableId="896668794">
    <w:abstractNumId w:val="4"/>
  </w:num>
  <w:num w:numId="4" w16cid:durableId="918294380">
    <w:abstractNumId w:val="5"/>
  </w:num>
  <w:num w:numId="5" w16cid:durableId="2109345008">
    <w:abstractNumId w:val="1"/>
  </w:num>
  <w:num w:numId="6" w16cid:durableId="452287664">
    <w:abstractNumId w:val="0"/>
  </w:num>
  <w:num w:numId="7" w16cid:durableId="9667351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BBE"/>
    <w:rsid w:val="0002229A"/>
    <w:rsid w:val="00044212"/>
    <w:rsid w:val="00057462"/>
    <w:rsid w:val="00111CC2"/>
    <w:rsid w:val="00127131"/>
    <w:rsid w:val="00131468"/>
    <w:rsid w:val="00177063"/>
    <w:rsid w:val="001D2C00"/>
    <w:rsid w:val="001D3E6C"/>
    <w:rsid w:val="001D3FAE"/>
    <w:rsid w:val="001E2301"/>
    <w:rsid w:val="00252D66"/>
    <w:rsid w:val="00380892"/>
    <w:rsid w:val="003D75A1"/>
    <w:rsid w:val="003E7627"/>
    <w:rsid w:val="00421203"/>
    <w:rsid w:val="004435DA"/>
    <w:rsid w:val="00492691"/>
    <w:rsid w:val="004C3345"/>
    <w:rsid w:val="004D40DC"/>
    <w:rsid w:val="005075C9"/>
    <w:rsid w:val="00537967"/>
    <w:rsid w:val="00543BBE"/>
    <w:rsid w:val="005E6D29"/>
    <w:rsid w:val="00621314"/>
    <w:rsid w:val="00636493"/>
    <w:rsid w:val="006936C7"/>
    <w:rsid w:val="0069408A"/>
    <w:rsid w:val="006E376E"/>
    <w:rsid w:val="006F01E2"/>
    <w:rsid w:val="006F0E56"/>
    <w:rsid w:val="00704B6E"/>
    <w:rsid w:val="007745F3"/>
    <w:rsid w:val="007F3600"/>
    <w:rsid w:val="00820B1C"/>
    <w:rsid w:val="008F3FBB"/>
    <w:rsid w:val="0096671D"/>
    <w:rsid w:val="009A5080"/>
    <w:rsid w:val="009A78CB"/>
    <w:rsid w:val="009C203D"/>
    <w:rsid w:val="009D72D3"/>
    <w:rsid w:val="00A014A5"/>
    <w:rsid w:val="00A45DC0"/>
    <w:rsid w:val="00A47980"/>
    <w:rsid w:val="00A54C5B"/>
    <w:rsid w:val="00A56C9F"/>
    <w:rsid w:val="00AA7C8D"/>
    <w:rsid w:val="00B4641F"/>
    <w:rsid w:val="00B66738"/>
    <w:rsid w:val="00BB47FD"/>
    <w:rsid w:val="00BC5421"/>
    <w:rsid w:val="00C0202F"/>
    <w:rsid w:val="00C11D26"/>
    <w:rsid w:val="00C21A9B"/>
    <w:rsid w:val="00C23F67"/>
    <w:rsid w:val="00C400AE"/>
    <w:rsid w:val="00C4122B"/>
    <w:rsid w:val="00C46C3F"/>
    <w:rsid w:val="00CA4C01"/>
    <w:rsid w:val="00CB0147"/>
    <w:rsid w:val="00CC1B2C"/>
    <w:rsid w:val="00CD00D1"/>
    <w:rsid w:val="00D12864"/>
    <w:rsid w:val="00D14756"/>
    <w:rsid w:val="00D44991"/>
    <w:rsid w:val="00D630DF"/>
    <w:rsid w:val="00D81FF9"/>
    <w:rsid w:val="00D97C55"/>
    <w:rsid w:val="00E20AF0"/>
    <w:rsid w:val="00E26BDE"/>
    <w:rsid w:val="00E32587"/>
    <w:rsid w:val="00E63D35"/>
    <w:rsid w:val="00E642B8"/>
    <w:rsid w:val="00E6687A"/>
    <w:rsid w:val="00E93C38"/>
    <w:rsid w:val="00ED3133"/>
    <w:rsid w:val="00EE2DEC"/>
    <w:rsid w:val="00EF7575"/>
    <w:rsid w:val="00F04B95"/>
    <w:rsid w:val="00F1233C"/>
    <w:rsid w:val="00F47F0A"/>
    <w:rsid w:val="00F674EB"/>
    <w:rsid w:val="00F77074"/>
    <w:rsid w:val="00F83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2F343"/>
  <w15:docId w15:val="{13B95C80-8D3A-4DF8-8CCB-EFDA3513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A47980"/>
    <w:pPr>
      <w:keepNext/>
      <w:keepLines/>
      <w:spacing w:line="259" w:lineRule="auto"/>
      <w:ind w:left="10" w:hanging="10"/>
      <w:outlineLvl w:val="0"/>
    </w:pPr>
    <w:rPr>
      <w:rFonts w:ascii="Constantia" w:eastAsia="Constantia" w:hAnsi="Constantia" w:cs="Constantia"/>
      <w:b/>
      <w:color w:val="007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6738"/>
    <w:pPr>
      <w:ind w:left="720"/>
      <w:contextualSpacing/>
    </w:pPr>
  </w:style>
  <w:style w:type="character" w:customStyle="1" w:styleId="Heading1Char">
    <w:name w:val="Heading 1 Char"/>
    <w:basedOn w:val="DefaultParagraphFont"/>
    <w:link w:val="Heading1"/>
    <w:rsid w:val="00A47980"/>
    <w:rPr>
      <w:rFonts w:ascii="Constantia" w:eastAsia="Constantia" w:hAnsi="Constantia" w:cs="Constantia"/>
      <w:b/>
      <w:color w:val="0070C0"/>
    </w:rPr>
  </w:style>
  <w:style w:type="character" w:styleId="Hyperlink">
    <w:name w:val="Hyperlink"/>
    <w:basedOn w:val="DefaultParagraphFont"/>
    <w:uiPriority w:val="99"/>
    <w:unhideWhenUsed/>
    <w:rsid w:val="00F1233C"/>
    <w:rPr>
      <w:color w:val="467886" w:themeColor="hyperlink"/>
      <w:u w:val="single"/>
    </w:rPr>
  </w:style>
  <w:style w:type="character" w:styleId="UnresolvedMention">
    <w:name w:val="Unresolved Mention"/>
    <w:basedOn w:val="DefaultParagraphFont"/>
    <w:uiPriority w:val="99"/>
    <w:semiHidden/>
    <w:unhideWhenUsed/>
    <w:rsid w:val="00F1233C"/>
    <w:rPr>
      <w:color w:val="605E5C"/>
      <w:shd w:val="clear" w:color="auto" w:fill="E1DFDD"/>
    </w:rPr>
  </w:style>
  <w:style w:type="paragraph" w:styleId="Header">
    <w:name w:val="header"/>
    <w:basedOn w:val="Normal"/>
    <w:link w:val="HeaderChar"/>
    <w:uiPriority w:val="99"/>
    <w:unhideWhenUsed/>
    <w:rsid w:val="001E2301"/>
    <w:pPr>
      <w:tabs>
        <w:tab w:val="center" w:pos="4680"/>
        <w:tab w:val="right" w:pos="9360"/>
      </w:tabs>
    </w:pPr>
  </w:style>
  <w:style w:type="character" w:customStyle="1" w:styleId="HeaderChar">
    <w:name w:val="Header Char"/>
    <w:basedOn w:val="DefaultParagraphFont"/>
    <w:link w:val="Header"/>
    <w:uiPriority w:val="99"/>
    <w:rsid w:val="001E2301"/>
  </w:style>
  <w:style w:type="paragraph" w:styleId="Footer">
    <w:name w:val="footer"/>
    <w:basedOn w:val="Normal"/>
    <w:link w:val="FooterChar"/>
    <w:uiPriority w:val="99"/>
    <w:unhideWhenUsed/>
    <w:rsid w:val="001E2301"/>
    <w:pPr>
      <w:tabs>
        <w:tab w:val="center" w:pos="4680"/>
        <w:tab w:val="right" w:pos="9360"/>
      </w:tabs>
    </w:pPr>
  </w:style>
  <w:style w:type="character" w:customStyle="1" w:styleId="FooterChar">
    <w:name w:val="Footer Char"/>
    <w:basedOn w:val="DefaultParagraphFont"/>
    <w:link w:val="Footer"/>
    <w:uiPriority w:val="99"/>
    <w:rsid w:val="001E2301"/>
  </w:style>
  <w:style w:type="paragraph" w:styleId="Revision">
    <w:name w:val="Revision"/>
    <w:hidden/>
    <w:uiPriority w:val="99"/>
    <w:semiHidden/>
    <w:rsid w:val="00704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runderwood@emameric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Austin.harrison@squirepb.com"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underwood@emameric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0684E-452C-4D6E-B258-EA9246B2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909</Words>
  <Characters>5606</Characters>
  <Application>Microsoft Office Word</Application>
  <DocSecurity>0</DocSecurity>
  <Lines>116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Underwood</dc:creator>
  <cp:lastModifiedBy>Rob Underwood</cp:lastModifiedBy>
  <cp:revision>9</cp:revision>
  <dcterms:created xsi:type="dcterms:W3CDTF">2026-04-09T21:28:00Z</dcterms:created>
  <dcterms:modified xsi:type="dcterms:W3CDTF">2026-04-10T15:06:00Z</dcterms:modified>
</cp:coreProperties>
</file>